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5E3C3F-AB5C-4C27-842D-10F286C22F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67305459" w:rsidR="00232783" w:rsidRDefault="00F2094E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November </w:t>
                            </w:r>
                            <w:r w:rsidR="00FF48CF">
                              <w:rPr>
                                <w:b/>
                              </w:rPr>
                              <w:t>13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</w:t>
                            </w:r>
                            <w:r w:rsidR="00FF48CF">
                              <w:rPr>
                                <w:b/>
                              </w:rPr>
                              <w:t>1401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560C16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560C16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560C16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560C16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232783" w14:paraId="32912260" w14:textId="77777777" w:rsidTr="00560C16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67305459" w:rsidR="00232783" w:rsidRDefault="00F2094E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November </w:t>
                      </w:r>
                      <w:r w:rsidR="00FF48CF">
                        <w:rPr>
                          <w:b/>
                        </w:rPr>
                        <w:t>13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</w:t>
                      </w:r>
                      <w:r w:rsidR="00FF48CF">
                        <w:rPr>
                          <w:b/>
                        </w:rPr>
                        <w:t>1401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560C16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560C16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560C16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560C16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232783" w14:paraId="32912260" w14:textId="77777777" w:rsidTr="00560C16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49151B03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560C16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560C16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560C16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560C16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49151B03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34719F66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9B6065">
              <w:t>10.23.25</w:t>
            </w:r>
          </w:p>
          <w:p w14:paraId="7870990B" w14:textId="224D6572" w:rsidR="0094029D" w:rsidRPr="0055797B" w:rsidRDefault="0094029D" w:rsidP="0094029D"/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49151B03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49151B03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49151B03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49151B03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1A178866" w14:textId="77777777" w:rsidTr="49151B03">
        <w:trPr>
          <w:trHeight w:val="305"/>
        </w:trPr>
        <w:tc>
          <w:tcPr>
            <w:tcW w:w="985" w:type="dxa"/>
          </w:tcPr>
          <w:p w14:paraId="2C65C1E0" w14:textId="23B35C9D" w:rsidR="0094029D" w:rsidRDefault="004C3031" w:rsidP="0094029D">
            <w:r>
              <w:t>30 min</w:t>
            </w:r>
          </w:p>
        </w:tc>
        <w:tc>
          <w:tcPr>
            <w:tcW w:w="5400" w:type="dxa"/>
          </w:tcPr>
          <w:p w14:paraId="56CB80B8" w14:textId="3CEDC4DE" w:rsidR="0094029D" w:rsidRPr="0007215D" w:rsidRDefault="004C3031" w:rsidP="0094029D">
            <w:r>
              <w:t>New Position Requests</w:t>
            </w:r>
          </w:p>
        </w:tc>
        <w:tc>
          <w:tcPr>
            <w:tcW w:w="1890" w:type="dxa"/>
          </w:tcPr>
          <w:p w14:paraId="58160495" w14:textId="5F963571" w:rsidR="0094029D" w:rsidRDefault="004C3031" w:rsidP="0094029D">
            <w:r>
              <w:t>Ms. Roberts</w:t>
            </w:r>
          </w:p>
        </w:tc>
        <w:tc>
          <w:tcPr>
            <w:tcW w:w="2610" w:type="dxa"/>
          </w:tcPr>
          <w:p w14:paraId="5FBABDFD" w14:textId="374F6028" w:rsidR="0094029D" w:rsidRDefault="004C3031" w:rsidP="0094029D">
            <w:r>
              <w:t>Discuss and rank</w:t>
            </w:r>
          </w:p>
        </w:tc>
      </w:tr>
      <w:tr w:rsidR="0094029D" w:rsidRPr="007949C2" w14:paraId="75496DEF" w14:textId="77777777" w:rsidTr="49151B03">
        <w:trPr>
          <w:trHeight w:val="305"/>
        </w:trPr>
        <w:tc>
          <w:tcPr>
            <w:tcW w:w="985" w:type="dxa"/>
          </w:tcPr>
          <w:p w14:paraId="5561FA83" w14:textId="48F12839" w:rsidR="0094029D" w:rsidRDefault="79E5A397" w:rsidP="0094029D">
            <w:r>
              <w:t>5 min</w:t>
            </w:r>
          </w:p>
        </w:tc>
        <w:tc>
          <w:tcPr>
            <w:tcW w:w="5400" w:type="dxa"/>
          </w:tcPr>
          <w:p w14:paraId="2AD44D21" w14:textId="55047C6C" w:rsidR="0094029D" w:rsidRDefault="79E5A397" w:rsidP="0094029D">
            <w:r>
              <w:t>Administrative Unit Reviews Spring 2026</w:t>
            </w:r>
          </w:p>
        </w:tc>
        <w:tc>
          <w:tcPr>
            <w:tcW w:w="1890" w:type="dxa"/>
          </w:tcPr>
          <w:p w14:paraId="2D9FC727" w14:textId="464F3195" w:rsidR="0094029D" w:rsidRDefault="79E5A397" w:rsidP="0094029D">
            <w:r>
              <w:t>Dr. Ortega</w:t>
            </w:r>
          </w:p>
        </w:tc>
        <w:tc>
          <w:tcPr>
            <w:tcW w:w="2610" w:type="dxa"/>
          </w:tcPr>
          <w:p w14:paraId="65A7E6AD" w14:textId="143DA652" w:rsidR="0094029D" w:rsidRDefault="79E5A397" w:rsidP="0094029D">
            <w:r>
              <w:t>Informational</w:t>
            </w:r>
          </w:p>
        </w:tc>
      </w:tr>
      <w:tr w:rsidR="0094029D" w:rsidRPr="007949C2" w14:paraId="0C37CE29" w14:textId="77777777" w:rsidTr="49151B03">
        <w:trPr>
          <w:trHeight w:val="305"/>
        </w:trPr>
        <w:tc>
          <w:tcPr>
            <w:tcW w:w="985" w:type="dxa"/>
          </w:tcPr>
          <w:p w14:paraId="7FEC3C03" w14:textId="3406C5E1" w:rsidR="0094029D" w:rsidRDefault="09BAB788" w:rsidP="0094029D">
            <w:r>
              <w:t>10 min</w:t>
            </w:r>
          </w:p>
        </w:tc>
        <w:tc>
          <w:tcPr>
            <w:tcW w:w="5400" w:type="dxa"/>
          </w:tcPr>
          <w:p w14:paraId="24C72F1C" w14:textId="7BE01FEF" w:rsidR="0094029D" w:rsidRPr="0007215D" w:rsidRDefault="09BAB788" w:rsidP="0094029D">
            <w:r>
              <w:t xml:space="preserve">First draft of NWCCU </w:t>
            </w:r>
            <w:proofErr w:type="gramStart"/>
            <w:r>
              <w:t>ad</w:t>
            </w:r>
            <w:proofErr w:type="gramEnd"/>
            <w:r>
              <w:t xml:space="preserve"> hoc report Spring 2026</w:t>
            </w:r>
          </w:p>
        </w:tc>
        <w:tc>
          <w:tcPr>
            <w:tcW w:w="1890" w:type="dxa"/>
          </w:tcPr>
          <w:p w14:paraId="08670DEE" w14:textId="3AE5BA4B" w:rsidR="0094029D" w:rsidRDefault="09BAB788" w:rsidP="0094029D">
            <w:r>
              <w:t>Dr. Ortega</w:t>
            </w:r>
          </w:p>
        </w:tc>
        <w:tc>
          <w:tcPr>
            <w:tcW w:w="2610" w:type="dxa"/>
          </w:tcPr>
          <w:p w14:paraId="748E253F" w14:textId="234940A3" w:rsidR="0094029D" w:rsidRPr="0007215D" w:rsidRDefault="2DFDDE1A" w:rsidP="49151B03">
            <w:r>
              <w:t>Informational</w:t>
            </w:r>
          </w:p>
        </w:tc>
      </w:tr>
      <w:tr w:rsidR="0094029D" w:rsidRPr="007949C2" w14:paraId="4394531D" w14:textId="77777777" w:rsidTr="49151B03">
        <w:trPr>
          <w:trHeight w:val="305"/>
        </w:trPr>
        <w:tc>
          <w:tcPr>
            <w:tcW w:w="985" w:type="dxa"/>
          </w:tcPr>
          <w:p w14:paraId="0451C88B" w14:textId="355F015D" w:rsidR="0094029D" w:rsidRDefault="2DFDDE1A" w:rsidP="0094029D">
            <w:r>
              <w:t>5 min</w:t>
            </w:r>
          </w:p>
        </w:tc>
        <w:tc>
          <w:tcPr>
            <w:tcW w:w="5400" w:type="dxa"/>
          </w:tcPr>
          <w:p w14:paraId="50874194" w14:textId="42508412" w:rsidR="0094029D" w:rsidRDefault="2DFDDE1A" w:rsidP="0094029D">
            <w:r>
              <w:t>Perkins V Local requests for 2026-27</w:t>
            </w:r>
          </w:p>
        </w:tc>
        <w:tc>
          <w:tcPr>
            <w:tcW w:w="1890" w:type="dxa"/>
          </w:tcPr>
          <w:p w14:paraId="6FEBB6BC" w14:textId="50F199CB" w:rsidR="0094029D" w:rsidRDefault="2DFDDE1A" w:rsidP="0094029D">
            <w:r>
              <w:t>Dr. Ortega</w:t>
            </w:r>
          </w:p>
        </w:tc>
        <w:tc>
          <w:tcPr>
            <w:tcW w:w="2610" w:type="dxa"/>
          </w:tcPr>
          <w:p w14:paraId="40CE40AF" w14:textId="51DB6B65" w:rsidR="0094029D" w:rsidRDefault="439D5EAD" w:rsidP="0094029D">
            <w:r>
              <w:t>Informational</w:t>
            </w:r>
          </w:p>
        </w:tc>
      </w:tr>
      <w:tr w:rsidR="0094029D" w:rsidRPr="007949C2" w14:paraId="21CDC91F" w14:textId="77777777" w:rsidTr="49151B03">
        <w:trPr>
          <w:trHeight w:val="305"/>
        </w:trPr>
        <w:tc>
          <w:tcPr>
            <w:tcW w:w="985" w:type="dxa"/>
          </w:tcPr>
          <w:p w14:paraId="1902F3F3" w14:textId="56BCD1EF" w:rsidR="0094029D" w:rsidRDefault="0033412A" w:rsidP="0094029D">
            <w:r>
              <w:t>5 min</w:t>
            </w:r>
          </w:p>
        </w:tc>
        <w:tc>
          <w:tcPr>
            <w:tcW w:w="5400" w:type="dxa"/>
          </w:tcPr>
          <w:p w14:paraId="21555E03" w14:textId="03AFE01E" w:rsidR="0094029D" w:rsidRDefault="0033412A" w:rsidP="0094029D">
            <w:r>
              <w:t xml:space="preserve">Partners to send holiday and NOFS invites to </w:t>
            </w:r>
          </w:p>
        </w:tc>
        <w:tc>
          <w:tcPr>
            <w:tcW w:w="1890" w:type="dxa"/>
          </w:tcPr>
          <w:p w14:paraId="63045D6C" w14:textId="1BF9B228" w:rsidR="0094029D" w:rsidRDefault="0033412A" w:rsidP="0094029D">
            <w:r>
              <w:t>Ms. Voboril</w:t>
            </w:r>
          </w:p>
        </w:tc>
        <w:tc>
          <w:tcPr>
            <w:tcW w:w="2610" w:type="dxa"/>
          </w:tcPr>
          <w:p w14:paraId="3980EB40" w14:textId="00CE43C7" w:rsidR="0094029D" w:rsidRDefault="0094029D" w:rsidP="0094029D"/>
        </w:tc>
      </w:tr>
      <w:tr w:rsidR="0094029D" w:rsidRPr="007949C2" w14:paraId="7CDC6D58" w14:textId="77777777" w:rsidTr="49151B03">
        <w:trPr>
          <w:trHeight w:val="305"/>
        </w:trPr>
        <w:tc>
          <w:tcPr>
            <w:tcW w:w="985" w:type="dxa"/>
          </w:tcPr>
          <w:p w14:paraId="6E529E44" w14:textId="163D88E9" w:rsidR="0094029D" w:rsidRDefault="0094029D" w:rsidP="0094029D"/>
        </w:tc>
        <w:tc>
          <w:tcPr>
            <w:tcW w:w="5400" w:type="dxa"/>
          </w:tcPr>
          <w:p w14:paraId="728E9302" w14:textId="071E8FD9" w:rsidR="0094029D" w:rsidRPr="00563618" w:rsidRDefault="0094029D" w:rsidP="0094029D"/>
        </w:tc>
        <w:tc>
          <w:tcPr>
            <w:tcW w:w="1890" w:type="dxa"/>
          </w:tcPr>
          <w:p w14:paraId="62AA9AC0" w14:textId="6BC12FE1" w:rsidR="0094029D" w:rsidRDefault="0094029D" w:rsidP="0094029D"/>
        </w:tc>
        <w:tc>
          <w:tcPr>
            <w:tcW w:w="2610" w:type="dxa"/>
          </w:tcPr>
          <w:p w14:paraId="45FFAEA9" w14:textId="58878219" w:rsidR="0094029D" w:rsidRPr="00563618" w:rsidRDefault="0094029D" w:rsidP="0094029D"/>
        </w:tc>
      </w:tr>
      <w:tr w:rsidR="0094029D" w:rsidRPr="007949C2" w14:paraId="2DB498C8" w14:textId="77777777" w:rsidTr="49151B03">
        <w:trPr>
          <w:trHeight w:val="305"/>
        </w:trPr>
        <w:tc>
          <w:tcPr>
            <w:tcW w:w="985" w:type="dxa"/>
          </w:tcPr>
          <w:p w14:paraId="39F61D2F" w14:textId="4C561216" w:rsidR="0094029D" w:rsidRDefault="0094029D" w:rsidP="0094029D"/>
        </w:tc>
        <w:tc>
          <w:tcPr>
            <w:tcW w:w="5400" w:type="dxa"/>
          </w:tcPr>
          <w:p w14:paraId="31CA77C4" w14:textId="3494B0A5" w:rsidR="0094029D" w:rsidRDefault="00C75066" w:rsidP="0094029D">
            <w:r>
              <w:t>Executive Session</w:t>
            </w:r>
          </w:p>
        </w:tc>
        <w:tc>
          <w:tcPr>
            <w:tcW w:w="1890" w:type="dxa"/>
          </w:tcPr>
          <w:p w14:paraId="3F617AB6" w14:textId="5D577568" w:rsidR="0094029D" w:rsidRDefault="00C75066" w:rsidP="0094029D">
            <w:r>
              <w:t>Dr. Erdmann</w:t>
            </w:r>
          </w:p>
        </w:tc>
        <w:tc>
          <w:tcPr>
            <w:tcW w:w="2610" w:type="dxa"/>
          </w:tcPr>
          <w:p w14:paraId="19AD7029" w14:textId="02A274A4" w:rsidR="0094029D" w:rsidRDefault="0094029D" w:rsidP="0094029D"/>
        </w:tc>
      </w:tr>
      <w:bookmarkEnd w:id="0"/>
    </w:tbl>
    <w:p w14:paraId="0F5AF7B1" w14:textId="6AA6031F" w:rsidR="00FE59F2" w:rsidRDefault="00FE59F2" w:rsidP="00DF5F5B"/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410"/>
        <w:gridCol w:w="3510"/>
      </w:tblGrid>
      <w:tr w:rsidR="0028050E" w14:paraId="70016DA9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501A00E" w14:textId="77777777" w:rsidR="0028050E" w:rsidRDefault="0028050E" w:rsidP="00560C16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Topic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4A65FD32" w14:textId="77777777" w:rsidR="0028050E" w:rsidRDefault="0028050E" w:rsidP="00560C16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Discussion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45AF4546" w14:textId="77777777" w:rsidR="0028050E" w:rsidRDefault="0028050E" w:rsidP="00560C16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Action</w:t>
            </w:r>
            <w:r>
              <w:rPr>
                <w:rFonts w:ascii="Calibri" w:eastAsia="Times New Roman" w:hAnsi="Calibri" w:cs="Calibri"/>
              </w:rPr>
              <w:t>  </w:t>
            </w:r>
          </w:p>
        </w:tc>
      </w:tr>
      <w:tr w:rsidR="0028050E" w14:paraId="4DC0ACCB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E76E" w14:textId="77777777" w:rsidR="0028050E" w:rsidRDefault="0028050E" w:rsidP="00560C16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Approval of EC minutes  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453" w14:textId="77777777" w:rsidR="0028050E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were approved as written.  </w:t>
            </w:r>
          </w:p>
          <w:p w14:paraId="3A057B4B" w14:textId="77777777" w:rsidR="0028050E" w:rsidRPr="007E039B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  <w:color w:val="0563C1"/>
                <w:u w:val="single"/>
              </w:rPr>
            </w:pPr>
            <w:r>
              <w:rPr>
                <w:rFonts w:eastAsia="Times New Roman" w:cstheme="minorHAnsi"/>
              </w:rPr>
              <w:t xml:space="preserve">Posted minutes can be found </w:t>
            </w:r>
            <w:r>
              <w:rPr>
                <w:rFonts w:eastAsia="Times New Roman" w:cstheme="minorHAnsi"/>
                <w:color w:val="0563C1"/>
                <w:u w:val="single"/>
              </w:rPr>
              <w:t>here</w:t>
            </w:r>
            <w:r>
              <w:rPr>
                <w:rFonts w:eastAsia="Times New Roman" w:cstheme="minorHAnsi"/>
              </w:rPr>
              <w:t> 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F74" w14:textId="07294472" w:rsidR="0028050E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7E039B">
              <w:rPr>
                <w:rFonts w:eastAsia="Times New Roman" w:cstheme="minorHAnsi"/>
                <w:vertAlign w:val="superscript"/>
              </w:rPr>
              <w:t>st</w:t>
            </w:r>
            <w:r>
              <w:rPr>
                <w:rFonts w:eastAsia="Times New Roman" w:cstheme="minorHAnsi"/>
              </w:rPr>
              <w:t xml:space="preserve"> </w:t>
            </w:r>
            <w:r w:rsidR="001A16EF">
              <w:rPr>
                <w:rFonts w:eastAsia="Times New Roman" w:cstheme="minorHAnsi"/>
              </w:rPr>
              <w:t>Mr. Stoddard</w:t>
            </w:r>
          </w:p>
          <w:p w14:paraId="61F2F2B8" w14:textId="428D509A" w:rsidR="0028050E" w:rsidRPr="001A16EF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7E039B">
              <w:rPr>
                <w:rFonts w:eastAsia="Times New Roman" w:cstheme="minorHAnsi"/>
                <w:vertAlign w:val="superscript"/>
              </w:rPr>
              <w:t>nd</w:t>
            </w:r>
            <w:r w:rsidR="001A16EF">
              <w:rPr>
                <w:rFonts w:eastAsia="Times New Roman" w:cstheme="minorHAnsi"/>
              </w:rPr>
              <w:t xml:space="preserve"> Dr. Frost</w:t>
            </w:r>
          </w:p>
          <w:p w14:paraId="4056672B" w14:textId="77777777" w:rsidR="0028050E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</w:t>
            </w:r>
          </w:p>
        </w:tc>
      </w:tr>
      <w:tr w:rsidR="0028050E" w14:paraId="66C6386E" w14:textId="77777777" w:rsidTr="00560C16">
        <w:trPr>
          <w:trHeight w:val="9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CF38" w14:textId="77777777" w:rsidR="0028050E" w:rsidRDefault="0028050E" w:rsidP="00560C16">
            <w:pPr>
              <w:spacing w:line="25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Call for Additional Agenda Items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91A1" w14:textId="1CBF2123" w:rsidR="0028050E" w:rsidRDefault="001A16EF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additional items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91C0" w14:textId="77777777" w:rsidR="0028050E" w:rsidRDefault="0028050E" w:rsidP="00560C16">
            <w:pPr>
              <w:rPr>
                <w:rFonts w:eastAsia="Times New Roman" w:cstheme="minorHAnsi"/>
              </w:rPr>
            </w:pPr>
          </w:p>
        </w:tc>
      </w:tr>
      <w:tr w:rsidR="0028050E" w14:paraId="755D72F7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151" w14:textId="77777777" w:rsidR="0028050E" w:rsidRDefault="0028050E" w:rsidP="00560C16">
            <w:pPr>
              <w:spacing w:line="256" w:lineRule="auto"/>
            </w:pPr>
            <w:r>
              <w:t>Policies:</w:t>
            </w:r>
          </w:p>
          <w:p w14:paraId="25BDE5D9" w14:textId="77777777" w:rsidR="0028050E" w:rsidRDefault="0028050E" w:rsidP="00560C16">
            <w:pPr>
              <w:spacing w:line="256" w:lineRule="auto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6C02" w14:textId="080D9B31" w:rsidR="0028050E" w:rsidRDefault="00666859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policies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B7" w14:textId="77777777" w:rsidR="0028050E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2E14DF70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54E9" w14:textId="77777777" w:rsidR="0028050E" w:rsidRDefault="0028050E" w:rsidP="00560C16">
            <w:pPr>
              <w:spacing w:line="256" w:lineRule="auto"/>
            </w:pPr>
            <w:r>
              <w:t xml:space="preserve">College Council Planning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26C5" w14:textId="1ED1DDA9" w:rsidR="0028050E" w:rsidRDefault="000F3C2C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Executive Council </w:t>
            </w:r>
            <w:r w:rsidR="009310C5">
              <w:rPr>
                <w:rFonts w:eastAsia="Times New Roman" w:cstheme="minorHAnsi"/>
              </w:rPr>
              <w:t>reviewed the December</w:t>
            </w:r>
            <w:r w:rsidR="00A441CA">
              <w:rPr>
                <w:rFonts w:eastAsia="Times New Roman" w:cstheme="minorHAnsi"/>
              </w:rPr>
              <w:t xml:space="preserve"> College Council agenda and </w:t>
            </w:r>
            <w:proofErr w:type="gramStart"/>
            <w:r w:rsidR="00A441CA">
              <w:rPr>
                <w:rFonts w:eastAsia="Times New Roman" w:cstheme="minorHAnsi"/>
              </w:rPr>
              <w:t>made adjustments</w:t>
            </w:r>
            <w:proofErr w:type="gramEnd"/>
            <w:r w:rsidR="00A441CA">
              <w:rPr>
                <w:rFonts w:eastAsia="Times New Roman" w:cstheme="minorHAnsi"/>
              </w:rPr>
              <w:t xml:space="preserve"> as necessary.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8EB" w14:textId="77777777" w:rsidR="0028050E" w:rsidRDefault="0028050E" w:rsidP="00560C16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1959F6B9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AC6" w14:textId="677329AE" w:rsidR="0028050E" w:rsidRDefault="0028050E" w:rsidP="0028050E">
            <w:pPr>
              <w:spacing w:line="256" w:lineRule="auto"/>
            </w:pPr>
            <w:r>
              <w:t>Suggestion Box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BE2" w14:textId="4C26E35C" w:rsidR="0028050E" w:rsidRDefault="00A441CA" w:rsidP="0028050E">
            <w:pPr>
              <w:spacing w:line="256" w:lineRule="auto"/>
              <w:textAlignment w:val="baseline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No suggestions to review.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83FB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54D887D6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D613" w14:textId="4812F531" w:rsidR="0028050E" w:rsidRDefault="0028050E" w:rsidP="0028050E">
            <w:pPr>
              <w:spacing w:line="256" w:lineRule="auto"/>
              <w:textAlignment w:val="baseline"/>
            </w:pPr>
            <w:r>
              <w:t>New Position Requests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5996" w14:textId="1590B306" w:rsidR="0028050E" w:rsidRDefault="00A441CA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Ms. Roberts led </w:t>
            </w:r>
            <w:r w:rsidR="000F4AFE">
              <w:rPr>
                <w:rFonts w:eastAsia="Times New Roman" w:cstheme="minorHAnsi"/>
              </w:rPr>
              <w:t>Executive Council</w:t>
            </w:r>
            <w:r>
              <w:rPr>
                <w:rFonts w:eastAsia="Times New Roman" w:cstheme="minorHAnsi"/>
              </w:rPr>
              <w:t xml:space="preserve"> </w:t>
            </w:r>
            <w:r w:rsidR="008646C1" w:rsidRPr="008646C1">
              <w:rPr>
                <w:rFonts w:eastAsia="Times New Roman" w:cstheme="minorHAnsi"/>
              </w:rPr>
              <w:t>through a detailed review and ranking of four new position requests using a rubric, discussing the purpose, responsibilities, and funding considerations for each role before reaching consensus on their prioritization.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C2A9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5CBD7B12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10A9" w14:textId="1A5531BE" w:rsidR="0028050E" w:rsidRDefault="0028050E" w:rsidP="0028050E">
            <w:pPr>
              <w:spacing w:line="256" w:lineRule="auto"/>
              <w:textAlignment w:val="baseline"/>
            </w:pPr>
            <w:r>
              <w:t>Administrative Unit Reviews Spring 2026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6724" w14:textId="1DF01809" w:rsidR="00171C34" w:rsidRDefault="003B66D5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Dr. Ortega</w:t>
            </w:r>
            <w:r w:rsidR="006566B7">
              <w:rPr>
                <w:rFonts w:eastAsia="Times New Roman" w:cstheme="minorHAnsi"/>
              </w:rPr>
              <w:t xml:space="preserve"> informed Executive Council </w:t>
            </w:r>
            <w:r w:rsidR="00A817E0" w:rsidRPr="00A817E0">
              <w:rPr>
                <w:rFonts w:eastAsia="Times New Roman" w:cstheme="minorHAnsi"/>
              </w:rPr>
              <w:t>about upcoming administrative unit reviews scheduled for spring 2026, outlining which departments will be reviewed and the purpose of these reviews in improving efficiency and service quality.</w:t>
            </w:r>
            <w:r w:rsidR="00A817E0">
              <w:rPr>
                <w:rFonts w:eastAsia="Times New Roman" w:cstheme="minorHAnsi"/>
              </w:rPr>
              <w:t xml:space="preserve"> The foll</w:t>
            </w:r>
            <w:r w:rsidR="00931FB0">
              <w:rPr>
                <w:rFonts w:eastAsia="Times New Roman" w:cstheme="minorHAnsi"/>
              </w:rPr>
              <w:t>owing</w:t>
            </w:r>
            <w:r w:rsidR="0044691B">
              <w:rPr>
                <w:rFonts w:eastAsia="Times New Roman" w:cstheme="minorHAnsi"/>
              </w:rPr>
              <w:t xml:space="preserve"> </w:t>
            </w:r>
            <w:r w:rsidR="00E11322">
              <w:rPr>
                <w:rFonts w:eastAsia="Times New Roman" w:cstheme="minorHAnsi"/>
              </w:rPr>
              <w:t>units will be reviewed:</w:t>
            </w:r>
          </w:p>
          <w:p w14:paraId="5AC79658" w14:textId="77777777" w:rsid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Dean’s Office</w:t>
            </w:r>
          </w:p>
          <w:p w14:paraId="35DFA5A1" w14:textId="77777777" w:rsid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Technology Assistance Center</w:t>
            </w:r>
          </w:p>
          <w:p w14:paraId="5FE1EE66" w14:textId="77777777" w:rsid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Marketing and Community Relations</w:t>
            </w:r>
          </w:p>
          <w:p w14:paraId="7983A1E2" w14:textId="77777777" w:rsid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Advising and Career Services</w:t>
            </w:r>
          </w:p>
          <w:p w14:paraId="49E64B58" w14:textId="77777777" w:rsid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Bookstore and Café</w:t>
            </w:r>
          </w:p>
          <w:p w14:paraId="5BEBD6CB" w14:textId="64BFEEDA" w:rsidR="0028050E" w:rsidRPr="006850D6" w:rsidRDefault="006850D6" w:rsidP="006850D6">
            <w:pPr>
              <w:pStyle w:val="ListParagraph"/>
              <w:numPr>
                <w:ilvl w:val="0"/>
                <w:numId w:val="3"/>
              </w:numPr>
              <w:spacing w:after="160" w:line="279" w:lineRule="auto"/>
            </w:pPr>
            <w:r>
              <w:t>Business Office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AD1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074E9D04" w14:textId="77777777" w:rsidTr="00560C1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755C0" w14:textId="7B4ACF57" w:rsidR="0028050E" w:rsidRDefault="0028050E" w:rsidP="0028050E">
            <w:pPr>
              <w:spacing w:line="256" w:lineRule="auto"/>
              <w:textAlignment w:val="baseline"/>
            </w:pPr>
            <w:r>
              <w:t>First draft of NWCCU ad</w:t>
            </w:r>
            <w:r w:rsidR="003917A2">
              <w:t>-</w:t>
            </w:r>
            <w:r>
              <w:t>hoc report Spring 2026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1A7DA" w14:textId="59A6BB90" w:rsidR="0028050E" w:rsidRDefault="00753D78" w:rsidP="0028050E">
            <w:pPr>
              <w:spacing w:line="256" w:lineRule="auto"/>
            </w:pPr>
            <w:r>
              <w:t xml:space="preserve">Dr. Ortega </w:t>
            </w:r>
            <w:r w:rsidR="0009101F">
              <w:t>discussed the draft report that will go to NWCCU in Spring of 2026</w:t>
            </w:r>
            <w:r w:rsidR="00B80C71">
              <w:t xml:space="preserve"> and asked Executive Council to review and advise her of suggestions.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2ED7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1B55DAD6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A4AB0" w14:textId="3A2B6CF4" w:rsidR="0028050E" w:rsidRDefault="0028050E" w:rsidP="0028050E">
            <w:pPr>
              <w:spacing w:line="256" w:lineRule="auto"/>
              <w:textAlignment w:val="baseline"/>
            </w:pPr>
            <w:r>
              <w:t>Perkins V Local requests for 2026-27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3088" w14:textId="1F6ADFEB" w:rsidR="0028050E" w:rsidRDefault="00B80C71" w:rsidP="0028050E">
            <w:pPr>
              <w:spacing w:line="252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Dr. Ortega </w:t>
            </w:r>
            <w:r w:rsidR="00546DEC" w:rsidRPr="00546DEC">
              <w:rPr>
                <w:rFonts w:eastAsia="Times New Roman" w:cstheme="minorHAnsi"/>
              </w:rPr>
              <w:t xml:space="preserve">updated </w:t>
            </w:r>
            <w:r w:rsidR="00546DEC">
              <w:rPr>
                <w:rFonts w:eastAsia="Times New Roman" w:cstheme="minorHAnsi"/>
              </w:rPr>
              <w:t>Executive Council</w:t>
            </w:r>
            <w:r w:rsidR="00546DEC" w:rsidRPr="00546DEC">
              <w:rPr>
                <w:rFonts w:eastAsia="Times New Roman" w:cstheme="minorHAnsi"/>
              </w:rPr>
              <w:t xml:space="preserve"> on the Perkins V local request process, noting that proposal documents are available and that requests will be solicited from faculty and directors, with a priority deadline set for February.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AF24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487E5977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906A7" w14:textId="2EFF965F" w:rsidR="0028050E" w:rsidRDefault="0028050E" w:rsidP="0028050E">
            <w:pPr>
              <w:spacing w:line="256" w:lineRule="auto"/>
              <w:textAlignment w:val="baseline"/>
            </w:pPr>
            <w:r>
              <w:t xml:space="preserve">Partners to send holiday and NOFS invites to 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11660" w14:textId="2F330326" w:rsidR="0028050E" w:rsidRDefault="005E38B3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Ms. Voboril asked </w:t>
            </w:r>
            <w:r w:rsidR="00754B11">
              <w:rPr>
                <w:rFonts w:eastAsia="Times New Roman" w:cstheme="minorHAnsi"/>
              </w:rPr>
              <w:t>Executive Council to think of partners or potential donors that should receive a holiday card or a NOFS invite for sponsorship.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3551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519C8390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F995" w14:textId="77777777" w:rsidR="0028050E" w:rsidRDefault="0028050E" w:rsidP="0028050E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8A52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2050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0D7C3F78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17BB" w14:textId="1E388A2A" w:rsidR="0028050E" w:rsidRDefault="0028050E" w:rsidP="0028050E">
            <w:pPr>
              <w:spacing w:line="256" w:lineRule="auto"/>
              <w:textAlignment w:val="baseline"/>
            </w:pPr>
            <w:r>
              <w:t>Executive Session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5AC4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F888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8050E" w14:paraId="41D76496" w14:textId="77777777" w:rsidTr="00560C16">
        <w:trPr>
          <w:trHeight w:val="300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8BB3" w14:textId="77777777" w:rsidR="0028050E" w:rsidRDefault="0028050E" w:rsidP="0028050E">
            <w:pPr>
              <w:spacing w:line="256" w:lineRule="auto"/>
              <w:textAlignment w:val="baseline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3934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60" w14:textId="77777777" w:rsidR="0028050E" w:rsidRDefault="0028050E" w:rsidP="0028050E">
            <w:pPr>
              <w:spacing w:line="256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F3AB4EA" w14:textId="77777777" w:rsidR="0028050E" w:rsidRDefault="0028050E" w:rsidP="0028050E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C617DD-1D21-48B9-AEEC-5CB854DA9F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857F"/>
    <w:multiLevelType w:val="hybridMultilevel"/>
    <w:tmpl w:val="8E641B26"/>
    <w:lvl w:ilvl="0" w:tplc="ED28B1AA">
      <w:start w:val="1"/>
      <w:numFmt w:val="decimal"/>
      <w:lvlText w:val="%1."/>
      <w:lvlJc w:val="left"/>
      <w:pPr>
        <w:ind w:left="720" w:hanging="360"/>
      </w:pPr>
    </w:lvl>
    <w:lvl w:ilvl="1" w:tplc="6A42E968">
      <w:start w:val="1"/>
      <w:numFmt w:val="lowerLetter"/>
      <w:lvlText w:val="%2."/>
      <w:lvlJc w:val="left"/>
      <w:pPr>
        <w:ind w:left="1440" w:hanging="360"/>
      </w:pPr>
    </w:lvl>
    <w:lvl w:ilvl="2" w:tplc="F7F63202">
      <w:start w:val="1"/>
      <w:numFmt w:val="lowerRoman"/>
      <w:lvlText w:val="%3."/>
      <w:lvlJc w:val="right"/>
      <w:pPr>
        <w:ind w:left="2160" w:hanging="180"/>
      </w:pPr>
    </w:lvl>
    <w:lvl w:ilvl="3" w:tplc="DFD488EE">
      <w:start w:val="1"/>
      <w:numFmt w:val="decimal"/>
      <w:lvlText w:val="%4."/>
      <w:lvlJc w:val="left"/>
      <w:pPr>
        <w:ind w:left="2880" w:hanging="360"/>
      </w:pPr>
    </w:lvl>
    <w:lvl w:ilvl="4" w:tplc="90E2A76A">
      <w:start w:val="1"/>
      <w:numFmt w:val="lowerLetter"/>
      <w:lvlText w:val="%5."/>
      <w:lvlJc w:val="left"/>
      <w:pPr>
        <w:ind w:left="3600" w:hanging="360"/>
      </w:pPr>
    </w:lvl>
    <w:lvl w:ilvl="5" w:tplc="151AC958">
      <w:start w:val="1"/>
      <w:numFmt w:val="lowerRoman"/>
      <w:lvlText w:val="%6."/>
      <w:lvlJc w:val="right"/>
      <w:pPr>
        <w:ind w:left="4320" w:hanging="180"/>
      </w:pPr>
    </w:lvl>
    <w:lvl w:ilvl="6" w:tplc="EED8719C">
      <w:start w:val="1"/>
      <w:numFmt w:val="decimal"/>
      <w:lvlText w:val="%7."/>
      <w:lvlJc w:val="left"/>
      <w:pPr>
        <w:ind w:left="5040" w:hanging="360"/>
      </w:pPr>
    </w:lvl>
    <w:lvl w:ilvl="7" w:tplc="EB42EA76">
      <w:start w:val="1"/>
      <w:numFmt w:val="lowerLetter"/>
      <w:lvlText w:val="%8."/>
      <w:lvlJc w:val="left"/>
      <w:pPr>
        <w:ind w:left="5760" w:hanging="360"/>
      </w:pPr>
    </w:lvl>
    <w:lvl w:ilvl="8" w:tplc="69C627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652236">
    <w:abstractNumId w:val="3"/>
  </w:num>
  <w:num w:numId="2" w16cid:durableId="1267078327">
    <w:abstractNumId w:val="6"/>
  </w:num>
  <w:num w:numId="3" w16cid:durableId="1349987372">
    <w:abstractNumId w:val="1"/>
  </w:num>
  <w:num w:numId="4" w16cid:durableId="1491561357">
    <w:abstractNumId w:val="0"/>
  </w:num>
  <w:num w:numId="5" w16cid:durableId="249315907">
    <w:abstractNumId w:val="4"/>
  </w:num>
  <w:num w:numId="6" w16cid:durableId="296567911">
    <w:abstractNumId w:val="5"/>
  </w:num>
  <w:num w:numId="7" w16cid:durableId="77636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268E"/>
    <w:rsid w:val="000057B3"/>
    <w:rsid w:val="000062D8"/>
    <w:rsid w:val="00016A2E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101F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3D06"/>
    <w:rsid w:val="000D6B18"/>
    <w:rsid w:val="000E0DB3"/>
    <w:rsid w:val="000E0F49"/>
    <w:rsid w:val="000E4251"/>
    <w:rsid w:val="000F3C2C"/>
    <w:rsid w:val="000F4AFE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1C34"/>
    <w:rsid w:val="00174663"/>
    <w:rsid w:val="00175BAD"/>
    <w:rsid w:val="00176C52"/>
    <w:rsid w:val="00176F08"/>
    <w:rsid w:val="0018266A"/>
    <w:rsid w:val="001918B6"/>
    <w:rsid w:val="00192BAD"/>
    <w:rsid w:val="001A16EF"/>
    <w:rsid w:val="001A45D2"/>
    <w:rsid w:val="001A50EA"/>
    <w:rsid w:val="001A5AB8"/>
    <w:rsid w:val="001A74EC"/>
    <w:rsid w:val="001A7B81"/>
    <w:rsid w:val="001C42F4"/>
    <w:rsid w:val="001D4111"/>
    <w:rsid w:val="001F1E20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36917"/>
    <w:rsid w:val="00246B5C"/>
    <w:rsid w:val="00255B42"/>
    <w:rsid w:val="00256E7A"/>
    <w:rsid w:val="00261351"/>
    <w:rsid w:val="00263886"/>
    <w:rsid w:val="0027118A"/>
    <w:rsid w:val="00273D55"/>
    <w:rsid w:val="00276DA7"/>
    <w:rsid w:val="00277227"/>
    <w:rsid w:val="0028050E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6511"/>
    <w:rsid w:val="003145F2"/>
    <w:rsid w:val="0031508B"/>
    <w:rsid w:val="00315905"/>
    <w:rsid w:val="00315C4A"/>
    <w:rsid w:val="0031784B"/>
    <w:rsid w:val="0032183B"/>
    <w:rsid w:val="00321B0C"/>
    <w:rsid w:val="003258F8"/>
    <w:rsid w:val="00325DF6"/>
    <w:rsid w:val="003302AB"/>
    <w:rsid w:val="0033412A"/>
    <w:rsid w:val="003376FD"/>
    <w:rsid w:val="0034132B"/>
    <w:rsid w:val="003428D6"/>
    <w:rsid w:val="0034360F"/>
    <w:rsid w:val="00343703"/>
    <w:rsid w:val="003439BA"/>
    <w:rsid w:val="00344942"/>
    <w:rsid w:val="00346E62"/>
    <w:rsid w:val="003501D8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4E97"/>
    <w:rsid w:val="003872D1"/>
    <w:rsid w:val="003917A2"/>
    <w:rsid w:val="00393786"/>
    <w:rsid w:val="003A07EC"/>
    <w:rsid w:val="003A1714"/>
    <w:rsid w:val="003A66DF"/>
    <w:rsid w:val="003B66D5"/>
    <w:rsid w:val="003C0494"/>
    <w:rsid w:val="003C3102"/>
    <w:rsid w:val="003D13F5"/>
    <w:rsid w:val="003E4B74"/>
    <w:rsid w:val="003E5E60"/>
    <w:rsid w:val="003F57EA"/>
    <w:rsid w:val="00400D9A"/>
    <w:rsid w:val="004129BF"/>
    <w:rsid w:val="0041573A"/>
    <w:rsid w:val="00416D9D"/>
    <w:rsid w:val="00417B2E"/>
    <w:rsid w:val="00424A6B"/>
    <w:rsid w:val="004260A9"/>
    <w:rsid w:val="00426794"/>
    <w:rsid w:val="00431A5F"/>
    <w:rsid w:val="00440BE2"/>
    <w:rsid w:val="00442765"/>
    <w:rsid w:val="00443193"/>
    <w:rsid w:val="00445CBC"/>
    <w:rsid w:val="0044691B"/>
    <w:rsid w:val="00450E75"/>
    <w:rsid w:val="00463FD8"/>
    <w:rsid w:val="0046482B"/>
    <w:rsid w:val="00466A83"/>
    <w:rsid w:val="00473E9F"/>
    <w:rsid w:val="00474D4E"/>
    <w:rsid w:val="00481D9F"/>
    <w:rsid w:val="0048295D"/>
    <w:rsid w:val="00485C70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50069A"/>
    <w:rsid w:val="00506DD1"/>
    <w:rsid w:val="00515A8C"/>
    <w:rsid w:val="00515A8E"/>
    <w:rsid w:val="005216A2"/>
    <w:rsid w:val="0052236E"/>
    <w:rsid w:val="00526F99"/>
    <w:rsid w:val="0053527B"/>
    <w:rsid w:val="0053542D"/>
    <w:rsid w:val="00543742"/>
    <w:rsid w:val="005441ED"/>
    <w:rsid w:val="005457A1"/>
    <w:rsid w:val="00546DEC"/>
    <w:rsid w:val="00552936"/>
    <w:rsid w:val="00553081"/>
    <w:rsid w:val="00556863"/>
    <w:rsid w:val="0055797B"/>
    <w:rsid w:val="00560C16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0D91"/>
    <w:rsid w:val="005D1C81"/>
    <w:rsid w:val="005D299E"/>
    <w:rsid w:val="005D57C5"/>
    <w:rsid w:val="005D5B09"/>
    <w:rsid w:val="005D66DB"/>
    <w:rsid w:val="005D6843"/>
    <w:rsid w:val="005E0DF5"/>
    <w:rsid w:val="005E38B3"/>
    <w:rsid w:val="005E45FB"/>
    <w:rsid w:val="005E4D89"/>
    <w:rsid w:val="005F24DF"/>
    <w:rsid w:val="00621E95"/>
    <w:rsid w:val="00623420"/>
    <w:rsid w:val="00626DC6"/>
    <w:rsid w:val="00637851"/>
    <w:rsid w:val="00640A29"/>
    <w:rsid w:val="00641694"/>
    <w:rsid w:val="00642CAA"/>
    <w:rsid w:val="00643E7C"/>
    <w:rsid w:val="00645E6D"/>
    <w:rsid w:val="00650B46"/>
    <w:rsid w:val="006566B7"/>
    <w:rsid w:val="00660E20"/>
    <w:rsid w:val="00661323"/>
    <w:rsid w:val="00666859"/>
    <w:rsid w:val="00670247"/>
    <w:rsid w:val="00676F0D"/>
    <w:rsid w:val="0068238C"/>
    <w:rsid w:val="006850D6"/>
    <w:rsid w:val="00686A5A"/>
    <w:rsid w:val="00687443"/>
    <w:rsid w:val="006907DA"/>
    <w:rsid w:val="006938C1"/>
    <w:rsid w:val="00696ACB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E77"/>
    <w:rsid w:val="006C5B83"/>
    <w:rsid w:val="006C6D5A"/>
    <w:rsid w:val="006D09BE"/>
    <w:rsid w:val="006D41F5"/>
    <w:rsid w:val="006E41AD"/>
    <w:rsid w:val="006E70F8"/>
    <w:rsid w:val="006E7618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81F"/>
    <w:rsid w:val="007502F2"/>
    <w:rsid w:val="00751028"/>
    <w:rsid w:val="00752E40"/>
    <w:rsid w:val="00753D78"/>
    <w:rsid w:val="00754B11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B4B69"/>
    <w:rsid w:val="007C2895"/>
    <w:rsid w:val="007C3DFB"/>
    <w:rsid w:val="007C4CC3"/>
    <w:rsid w:val="007D79E2"/>
    <w:rsid w:val="007E6CB2"/>
    <w:rsid w:val="007F7875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43F6"/>
    <w:rsid w:val="008646C1"/>
    <w:rsid w:val="00865CC0"/>
    <w:rsid w:val="00866FD9"/>
    <w:rsid w:val="008724FB"/>
    <w:rsid w:val="0087609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0388"/>
    <w:rsid w:val="008D2D76"/>
    <w:rsid w:val="008D3FB7"/>
    <w:rsid w:val="008E30BC"/>
    <w:rsid w:val="008E7588"/>
    <w:rsid w:val="008F4C8E"/>
    <w:rsid w:val="009012CD"/>
    <w:rsid w:val="00906479"/>
    <w:rsid w:val="00917C9A"/>
    <w:rsid w:val="009310C5"/>
    <w:rsid w:val="00931FB0"/>
    <w:rsid w:val="0093432D"/>
    <w:rsid w:val="00936AC5"/>
    <w:rsid w:val="0093732A"/>
    <w:rsid w:val="0094029D"/>
    <w:rsid w:val="009406FB"/>
    <w:rsid w:val="009423F4"/>
    <w:rsid w:val="009510AC"/>
    <w:rsid w:val="009530C8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7E01"/>
    <w:rsid w:val="009B0C65"/>
    <w:rsid w:val="009B2999"/>
    <w:rsid w:val="009B6065"/>
    <w:rsid w:val="009B6498"/>
    <w:rsid w:val="009C222F"/>
    <w:rsid w:val="009C257F"/>
    <w:rsid w:val="009C5CE6"/>
    <w:rsid w:val="009D0916"/>
    <w:rsid w:val="009D0A2B"/>
    <w:rsid w:val="009D505D"/>
    <w:rsid w:val="009E2A13"/>
    <w:rsid w:val="009E3FCE"/>
    <w:rsid w:val="009F0C3C"/>
    <w:rsid w:val="009F18F6"/>
    <w:rsid w:val="009F3DB8"/>
    <w:rsid w:val="009F54B2"/>
    <w:rsid w:val="009F79C9"/>
    <w:rsid w:val="009F7C0B"/>
    <w:rsid w:val="00A0155E"/>
    <w:rsid w:val="00A05726"/>
    <w:rsid w:val="00A13131"/>
    <w:rsid w:val="00A21A7E"/>
    <w:rsid w:val="00A25041"/>
    <w:rsid w:val="00A2756E"/>
    <w:rsid w:val="00A332E7"/>
    <w:rsid w:val="00A3398D"/>
    <w:rsid w:val="00A355D0"/>
    <w:rsid w:val="00A36930"/>
    <w:rsid w:val="00A411D1"/>
    <w:rsid w:val="00A441CA"/>
    <w:rsid w:val="00A4592F"/>
    <w:rsid w:val="00A45F56"/>
    <w:rsid w:val="00A465A4"/>
    <w:rsid w:val="00A553F6"/>
    <w:rsid w:val="00A55634"/>
    <w:rsid w:val="00A61815"/>
    <w:rsid w:val="00A63318"/>
    <w:rsid w:val="00A64E23"/>
    <w:rsid w:val="00A72CBE"/>
    <w:rsid w:val="00A74C6F"/>
    <w:rsid w:val="00A817E0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EEA"/>
    <w:rsid w:val="00B3062B"/>
    <w:rsid w:val="00B31F0D"/>
    <w:rsid w:val="00B41624"/>
    <w:rsid w:val="00B41CB6"/>
    <w:rsid w:val="00B4208B"/>
    <w:rsid w:val="00B45768"/>
    <w:rsid w:val="00B45B35"/>
    <w:rsid w:val="00B46302"/>
    <w:rsid w:val="00B51D19"/>
    <w:rsid w:val="00B5759F"/>
    <w:rsid w:val="00B61AF9"/>
    <w:rsid w:val="00B6386E"/>
    <w:rsid w:val="00B652AA"/>
    <w:rsid w:val="00B6597F"/>
    <w:rsid w:val="00B67192"/>
    <w:rsid w:val="00B7195E"/>
    <w:rsid w:val="00B7693D"/>
    <w:rsid w:val="00B7723F"/>
    <w:rsid w:val="00B80C71"/>
    <w:rsid w:val="00B91824"/>
    <w:rsid w:val="00B97E91"/>
    <w:rsid w:val="00BA0DB2"/>
    <w:rsid w:val="00BA3C49"/>
    <w:rsid w:val="00BA7141"/>
    <w:rsid w:val="00BB1BC1"/>
    <w:rsid w:val="00BC5606"/>
    <w:rsid w:val="00BC61AA"/>
    <w:rsid w:val="00BC6582"/>
    <w:rsid w:val="00BC754E"/>
    <w:rsid w:val="00BD0335"/>
    <w:rsid w:val="00BD5AC1"/>
    <w:rsid w:val="00BD61BE"/>
    <w:rsid w:val="00BD740A"/>
    <w:rsid w:val="00BF184F"/>
    <w:rsid w:val="00BF582C"/>
    <w:rsid w:val="00C129A8"/>
    <w:rsid w:val="00C13853"/>
    <w:rsid w:val="00C20690"/>
    <w:rsid w:val="00C220CC"/>
    <w:rsid w:val="00C24AD0"/>
    <w:rsid w:val="00C264D3"/>
    <w:rsid w:val="00C269FD"/>
    <w:rsid w:val="00C31D56"/>
    <w:rsid w:val="00C31E63"/>
    <w:rsid w:val="00C34287"/>
    <w:rsid w:val="00C36F04"/>
    <w:rsid w:val="00C53024"/>
    <w:rsid w:val="00C6356A"/>
    <w:rsid w:val="00C75066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C1D90"/>
    <w:rsid w:val="00CC2303"/>
    <w:rsid w:val="00CC25B0"/>
    <w:rsid w:val="00CC3197"/>
    <w:rsid w:val="00CD10A5"/>
    <w:rsid w:val="00CD7046"/>
    <w:rsid w:val="00CF3228"/>
    <w:rsid w:val="00CF46C6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7F51"/>
    <w:rsid w:val="00D22E35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36E60"/>
    <w:rsid w:val="00D43B47"/>
    <w:rsid w:val="00D45F4F"/>
    <w:rsid w:val="00D46A72"/>
    <w:rsid w:val="00D477CD"/>
    <w:rsid w:val="00D550D7"/>
    <w:rsid w:val="00D5669C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B5D88"/>
    <w:rsid w:val="00DC40AE"/>
    <w:rsid w:val="00DD60A2"/>
    <w:rsid w:val="00DE1962"/>
    <w:rsid w:val="00DE4F52"/>
    <w:rsid w:val="00DF0137"/>
    <w:rsid w:val="00DF320D"/>
    <w:rsid w:val="00DF5F5B"/>
    <w:rsid w:val="00E0162A"/>
    <w:rsid w:val="00E04A02"/>
    <w:rsid w:val="00E11322"/>
    <w:rsid w:val="00E12B11"/>
    <w:rsid w:val="00E20530"/>
    <w:rsid w:val="00E226D2"/>
    <w:rsid w:val="00E2479E"/>
    <w:rsid w:val="00E349EA"/>
    <w:rsid w:val="00E372C5"/>
    <w:rsid w:val="00E42DC6"/>
    <w:rsid w:val="00E44B64"/>
    <w:rsid w:val="00E474F6"/>
    <w:rsid w:val="00E524F1"/>
    <w:rsid w:val="00E60FF2"/>
    <w:rsid w:val="00E61DA9"/>
    <w:rsid w:val="00E62BD9"/>
    <w:rsid w:val="00E635A1"/>
    <w:rsid w:val="00E63F5C"/>
    <w:rsid w:val="00E67895"/>
    <w:rsid w:val="00E755F3"/>
    <w:rsid w:val="00E77072"/>
    <w:rsid w:val="00E801F7"/>
    <w:rsid w:val="00E90B12"/>
    <w:rsid w:val="00E94DD7"/>
    <w:rsid w:val="00E953C9"/>
    <w:rsid w:val="00E96946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094E"/>
    <w:rsid w:val="00F227C9"/>
    <w:rsid w:val="00F256E6"/>
    <w:rsid w:val="00F257E3"/>
    <w:rsid w:val="00F36E61"/>
    <w:rsid w:val="00F37A59"/>
    <w:rsid w:val="00F522FD"/>
    <w:rsid w:val="00F525ED"/>
    <w:rsid w:val="00F52756"/>
    <w:rsid w:val="00F53A96"/>
    <w:rsid w:val="00F56B27"/>
    <w:rsid w:val="00F570C5"/>
    <w:rsid w:val="00F574A5"/>
    <w:rsid w:val="00F60517"/>
    <w:rsid w:val="00F621F6"/>
    <w:rsid w:val="00F647F2"/>
    <w:rsid w:val="00F6592C"/>
    <w:rsid w:val="00F7136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2126"/>
    <w:rsid w:val="00FC72A9"/>
    <w:rsid w:val="00FD6C7F"/>
    <w:rsid w:val="00FE1231"/>
    <w:rsid w:val="00FE2E56"/>
    <w:rsid w:val="00FE42C3"/>
    <w:rsid w:val="00FE511D"/>
    <w:rsid w:val="00FE59F2"/>
    <w:rsid w:val="00FE65BE"/>
    <w:rsid w:val="00FF0670"/>
    <w:rsid w:val="00FF48CF"/>
    <w:rsid w:val="00FF5D35"/>
    <w:rsid w:val="00FF64A9"/>
    <w:rsid w:val="00FF7F7C"/>
    <w:rsid w:val="02730AD0"/>
    <w:rsid w:val="07413F6B"/>
    <w:rsid w:val="09BAB788"/>
    <w:rsid w:val="2DFDDE1A"/>
    <w:rsid w:val="31CD088D"/>
    <w:rsid w:val="439D5EAD"/>
    <w:rsid w:val="49151B03"/>
    <w:rsid w:val="511BB7A3"/>
    <w:rsid w:val="73F03C30"/>
    <w:rsid w:val="79E0F8E8"/>
    <w:rsid w:val="79E5A397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BC940322-20A0-4A54-81ED-4F4C8B8B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b49cb2671c725792c4251aa0c848ba39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5c9b839cf8f3fcb27f2b986a7cfb29c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customXml/itemProps3.xml><?xml version="1.0" encoding="utf-8"?>
<ds:datastoreItem xmlns:ds="http://schemas.openxmlformats.org/officeDocument/2006/customXml" ds:itemID="{98917A75-25FA-4A81-BCC4-8DF60267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392</Words>
  <Characters>2156</Characters>
  <Application>Microsoft Office Word</Application>
  <DocSecurity>0</DocSecurity>
  <Lines>165</Lines>
  <Paragraphs>94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36</cp:revision>
  <cp:lastPrinted>2022-08-11T19:58:00Z</cp:lastPrinted>
  <dcterms:created xsi:type="dcterms:W3CDTF">2025-11-13T21:00:00Z</dcterms:created>
  <dcterms:modified xsi:type="dcterms:W3CDTF">2025-12-18T22:02:00Z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