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4C1F0ECB" w:rsidR="00232783" w:rsidRDefault="00A50210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10</w:t>
                            </w:r>
                            <w:r w:rsidR="00232783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232783">
                              <w:rPr>
                                <w:b/>
                              </w:rPr>
                              <w:t>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EF518B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CF4A38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CF4A38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CF4A38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CF4A38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CF4A38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4C1F0ECB" w:rsidR="00232783" w:rsidRDefault="00A50210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10</w:t>
                      </w:r>
                      <w:r w:rsidR="00232783">
                        <w:rPr>
                          <w:b/>
                        </w:rPr>
                        <w:t xml:space="preserve">, </w:t>
                      </w:r>
                      <w:proofErr w:type="gramStart"/>
                      <w:r w:rsidR="00232783">
                        <w:rPr>
                          <w:b/>
                        </w:rPr>
                        <w:t>202</w:t>
                      </w:r>
                      <w:r w:rsidR="00996337">
                        <w:rPr>
                          <w:b/>
                        </w:rPr>
                        <w:t>5</w:t>
                      </w:r>
                      <w:proofErr w:type="gramEnd"/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EF518B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CF4A38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CF4A38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CF4A38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CF4A38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CF4A38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6DBF6B4F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CF4A3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CF4A3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CF4A3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CF4A3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6DBF6B4F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3CF16E2C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2E712B">
              <w:t>3.27.25</w:t>
            </w:r>
          </w:p>
          <w:bookmarkStart w:id="2" w:name="_MON_1805700447"/>
          <w:bookmarkEnd w:id="2"/>
          <w:p w14:paraId="7870990B" w14:textId="2AC4DEC3" w:rsidR="0094029D" w:rsidRPr="0055797B" w:rsidRDefault="002E712B" w:rsidP="0094029D">
            <w:r>
              <w:object w:dxaOrig="1539" w:dyaOrig="994" w14:anchorId="31723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9" o:title=""/>
                </v:shape>
                <o:OLEObject Type="Embed" ProgID="Word.Document.12" ShapeID="_x0000_i1025" DrawAspect="Icon" ObjectID="_1807018585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6DBF6B4F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73BAB504" w:rsidR="00EF518B" w:rsidRDefault="0094029D" w:rsidP="003B50DA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68076184" w14:paraId="3405815B" w14:textId="77777777" w:rsidTr="6DBF6B4F">
        <w:trPr>
          <w:trHeight w:val="300"/>
        </w:trPr>
        <w:tc>
          <w:tcPr>
            <w:tcW w:w="985" w:type="dxa"/>
            <w:shd w:val="clear" w:color="auto" w:fill="auto"/>
          </w:tcPr>
          <w:p w14:paraId="03DFC4E7" w14:textId="41856A60" w:rsidR="68076184" w:rsidRDefault="18381200" w:rsidP="68076184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FD1A8C8" w14:textId="0131976B" w:rsidR="68076184" w:rsidRDefault="18381200" w:rsidP="68076184">
            <w:r>
              <w:t>Summer Schedule Brainstorm</w:t>
            </w:r>
          </w:p>
        </w:tc>
        <w:tc>
          <w:tcPr>
            <w:tcW w:w="1890" w:type="dxa"/>
            <w:shd w:val="clear" w:color="auto" w:fill="auto"/>
          </w:tcPr>
          <w:p w14:paraId="11085518" w14:textId="2A490277" w:rsidR="68076184" w:rsidRDefault="18381200" w:rsidP="68076184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8EF2751" w14:textId="6905B2C5" w:rsidR="68076184" w:rsidRDefault="18381200" w:rsidP="68076184">
            <w:r>
              <w:t>Discussion</w:t>
            </w:r>
          </w:p>
        </w:tc>
      </w:tr>
      <w:tr w:rsidR="0094029D" w:rsidRPr="007949C2" w14:paraId="542D133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38E4B45A" w:rsidR="0094029D" w:rsidRDefault="00AE6283" w:rsidP="0094029D">
            <w:r>
              <w:t>20 min</w:t>
            </w:r>
          </w:p>
        </w:tc>
        <w:tc>
          <w:tcPr>
            <w:tcW w:w="5400" w:type="dxa"/>
            <w:shd w:val="clear" w:color="auto" w:fill="auto"/>
          </w:tcPr>
          <w:p w14:paraId="012D18DC" w14:textId="5CC77D37" w:rsidR="0094029D" w:rsidRDefault="002218D4" w:rsidP="0094029D">
            <w:r w:rsidRPr="002218D4">
              <w:t>Feeback from Staff Senate Meeting</w:t>
            </w:r>
          </w:p>
        </w:tc>
        <w:tc>
          <w:tcPr>
            <w:tcW w:w="1890" w:type="dxa"/>
            <w:shd w:val="clear" w:color="auto" w:fill="auto"/>
          </w:tcPr>
          <w:p w14:paraId="3A1F55D6" w14:textId="2AAE8C8B" w:rsidR="0094029D" w:rsidRDefault="00AE6283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5F2CC922" w14:textId="58E0B6B7" w:rsidR="0094029D" w:rsidRDefault="00AE6283" w:rsidP="00D43B47">
            <w:r>
              <w:t>Informational</w:t>
            </w:r>
          </w:p>
        </w:tc>
      </w:tr>
      <w:tr w:rsidR="00FF42B6" w:rsidRPr="007949C2" w14:paraId="53101A6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10CDC69F" w14:textId="27FB9A19" w:rsidR="00FF42B6" w:rsidRDefault="00C63CCB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14985B9" w14:textId="2DD6ED83" w:rsidR="00FF42B6" w:rsidRPr="002218D4" w:rsidRDefault="00C63CCB" w:rsidP="0094029D">
            <w:r w:rsidRPr="00C63CCB">
              <w:t>Position Refill Request, Nursing Director</w:t>
            </w:r>
          </w:p>
        </w:tc>
        <w:tc>
          <w:tcPr>
            <w:tcW w:w="1890" w:type="dxa"/>
            <w:shd w:val="clear" w:color="auto" w:fill="auto"/>
          </w:tcPr>
          <w:p w14:paraId="3C9BDA61" w14:textId="42B20D60" w:rsidR="00FF42B6" w:rsidRDefault="00C63CC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4215A2B7" w14:textId="6BB9E421" w:rsidR="00FF42B6" w:rsidRDefault="00C63CCB" w:rsidP="00D43B47">
            <w:r>
              <w:t>Approval</w:t>
            </w:r>
          </w:p>
        </w:tc>
      </w:tr>
      <w:tr w:rsidR="00FF42B6" w:rsidRPr="007949C2" w14:paraId="5D684228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42C99C5E" w14:textId="2B2C0F50" w:rsidR="00FF42B6" w:rsidRDefault="00C63CCB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B80970B" w14:textId="0B849BB8" w:rsidR="00FF42B6" w:rsidRPr="002218D4" w:rsidRDefault="00C63CCB" w:rsidP="0094029D">
            <w:r w:rsidRPr="00C63CCB">
              <w:t>25-26 building calendar</w:t>
            </w:r>
          </w:p>
        </w:tc>
        <w:tc>
          <w:tcPr>
            <w:tcW w:w="1890" w:type="dxa"/>
            <w:shd w:val="clear" w:color="auto" w:fill="auto"/>
          </w:tcPr>
          <w:p w14:paraId="1F2F531F" w14:textId="5DA28B17" w:rsidR="00FF42B6" w:rsidRDefault="00C63CC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59482BB" w14:textId="5FCB15AE" w:rsidR="00FF42B6" w:rsidRDefault="00C63CCB" w:rsidP="00D43B47">
            <w:r>
              <w:t xml:space="preserve">Review and </w:t>
            </w:r>
            <w:proofErr w:type="gramStart"/>
            <w:r>
              <w:t>Approve</w:t>
            </w:r>
            <w:proofErr w:type="gramEnd"/>
          </w:p>
        </w:tc>
      </w:tr>
      <w:tr w:rsidR="6DBF6B4F" w14:paraId="5B943FAB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9F7A216" w14:textId="05A797D1" w:rsidR="49188792" w:rsidRDefault="49188792" w:rsidP="6DBF6B4F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6131DFEF" w14:textId="143CD306" w:rsidR="49188792" w:rsidRDefault="49188792" w:rsidP="6DBF6B4F">
            <w:r>
              <w:t>Remote Work Discussion</w:t>
            </w:r>
          </w:p>
        </w:tc>
        <w:tc>
          <w:tcPr>
            <w:tcW w:w="1890" w:type="dxa"/>
            <w:shd w:val="clear" w:color="auto" w:fill="auto"/>
          </w:tcPr>
          <w:p w14:paraId="38602380" w14:textId="2B681F3C" w:rsidR="49188792" w:rsidRDefault="49188792" w:rsidP="6DBF6B4F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1421B5F6" w14:textId="5E708D16" w:rsidR="49188792" w:rsidRDefault="49188792" w:rsidP="6DBF6B4F">
            <w:r>
              <w:t>Discussion</w:t>
            </w:r>
          </w:p>
        </w:tc>
      </w:tr>
      <w:tr w:rsidR="0094029D" w:rsidRPr="007949C2" w14:paraId="1A178866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4763A2A0" w:rsidR="0094029D" w:rsidRDefault="006D3CD3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6CB80B8" w14:textId="26AC5198" w:rsidR="0094029D" w:rsidRPr="0007215D" w:rsidRDefault="006D3CD3" w:rsidP="0094029D">
            <w:r>
              <w:t xml:space="preserve">Mid-Cycle </w:t>
            </w:r>
            <w:r w:rsidR="4CFF67FE">
              <w:t>Site Review D</w:t>
            </w:r>
            <w:r>
              <w:t>ebrief</w:t>
            </w:r>
          </w:p>
        </w:tc>
        <w:tc>
          <w:tcPr>
            <w:tcW w:w="1890" w:type="dxa"/>
            <w:shd w:val="clear" w:color="auto" w:fill="auto"/>
          </w:tcPr>
          <w:p w14:paraId="58160495" w14:textId="1EBFECA9" w:rsidR="0094029D" w:rsidRDefault="006D3CD3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FBABDFD" w14:textId="05B7A85F" w:rsidR="0094029D" w:rsidRDefault="00B76621" w:rsidP="0094029D">
            <w:r>
              <w:t>Informational</w:t>
            </w:r>
          </w:p>
        </w:tc>
      </w:tr>
      <w:tr w:rsidR="0094029D" w:rsidRPr="007949C2" w14:paraId="75496DEF" w14:textId="77777777" w:rsidTr="6DBF6B4F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32F4DBA1" w:rsidR="0094029D" w:rsidRDefault="00B7662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AD44D21" w14:textId="68734952" w:rsidR="0094029D" w:rsidRDefault="00B76621" w:rsidP="0094029D">
            <w:r w:rsidRPr="00B76621">
              <w:t>Funding Allocation Matrix</w:t>
            </w:r>
          </w:p>
        </w:tc>
        <w:tc>
          <w:tcPr>
            <w:tcW w:w="1890" w:type="dxa"/>
            <w:shd w:val="clear" w:color="auto" w:fill="auto"/>
          </w:tcPr>
          <w:p w14:paraId="2D9FC727" w14:textId="6506B243" w:rsidR="0094029D" w:rsidRDefault="00B76621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65A7E6AD" w14:textId="62C00A91" w:rsidR="0094029D" w:rsidRDefault="00B76621" w:rsidP="0094029D">
            <w:r>
              <w:t>Informational</w:t>
            </w:r>
          </w:p>
        </w:tc>
      </w:tr>
      <w:bookmarkEnd w:id="0"/>
    </w:tbl>
    <w:p w14:paraId="5E4BC228" w14:textId="165EBAB9" w:rsidR="6DBF6B4F" w:rsidRDefault="6DBF6B4F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F4422B" w14:paraId="35A3C966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200889A5" w14:textId="77777777" w:rsidR="00F4422B" w:rsidRDefault="00F4422B" w:rsidP="000A42EE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Topic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02954335" w14:textId="77777777" w:rsidR="00F4422B" w:rsidRDefault="00F4422B" w:rsidP="000A42EE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Discussion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33FE793" w14:textId="77777777" w:rsidR="00F4422B" w:rsidRDefault="00F4422B" w:rsidP="000A42EE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Action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</w:tr>
      <w:tr w:rsidR="00F4422B" w14:paraId="4EF5D4D5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141C" w14:textId="77777777" w:rsidR="00F4422B" w:rsidRDefault="00F4422B" w:rsidP="000A42EE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7002" w14:textId="77777777" w:rsidR="00F4422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Minutes were approved as written.  </w:t>
            </w:r>
          </w:p>
          <w:p w14:paraId="5A27BD8A" w14:textId="77777777" w:rsidR="00F4422B" w:rsidRPr="007E039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</w:rPr>
              <w:t xml:space="preserve">Posted minutes can be found </w:t>
            </w:r>
            <w:r>
              <w:rPr>
                <w:rFonts w:eastAsia="Times New Roman" w:cstheme="minorHAnsi"/>
                <w:color w:val="0563C1"/>
                <w:u w:val="single"/>
              </w:rPr>
              <w:t>here</w:t>
            </w:r>
            <w:r>
              <w:rPr>
                <w:rFonts w:eastAsia="Times New Roman" w:cstheme="minorHAnsi"/>
              </w:rPr>
              <w:t> 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58B" w14:textId="0C3D1613" w:rsidR="00F4422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7E039B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</w:t>
            </w:r>
            <w:r w:rsidR="001A3CE9">
              <w:rPr>
                <w:rFonts w:eastAsia="Times New Roman" w:cstheme="minorHAnsi"/>
              </w:rPr>
              <w:t>Dr. Frost</w:t>
            </w:r>
          </w:p>
          <w:p w14:paraId="13D5EA3E" w14:textId="140470E8" w:rsidR="00F4422B" w:rsidRPr="001A3CE9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7E039B">
              <w:rPr>
                <w:rFonts w:eastAsia="Times New Roman" w:cstheme="minorHAnsi"/>
                <w:vertAlign w:val="superscript"/>
              </w:rPr>
              <w:t>nd</w:t>
            </w:r>
            <w:r w:rsidR="001A3CE9">
              <w:rPr>
                <w:rFonts w:eastAsia="Times New Roman" w:cstheme="minorHAnsi"/>
              </w:rPr>
              <w:t xml:space="preserve"> Dr. Ortega</w:t>
            </w:r>
          </w:p>
          <w:p w14:paraId="108810B6" w14:textId="77777777" w:rsidR="00F4422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F4422B" w14:paraId="1C583D25" w14:textId="77777777" w:rsidTr="000A42EE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CA7E" w14:textId="77777777" w:rsidR="00F4422B" w:rsidRDefault="00F4422B" w:rsidP="000A42EE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8D1" w14:textId="0D34C9A1" w:rsidR="00F4422B" w:rsidRDefault="00AC6C6D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Erdmann</w:t>
            </w:r>
            <w:r w:rsidRPr="00AC6C6D">
              <w:rPr>
                <w:rFonts w:eastAsia="Times New Roman" w:cstheme="minorHAnsi"/>
              </w:rPr>
              <w:t xml:space="preserve"> called for agenda items, including a refill position request and the next calendar year's building schedule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E9FC" w14:textId="77777777" w:rsidR="00F4422B" w:rsidRDefault="00F4422B" w:rsidP="000A42EE">
            <w:pPr>
              <w:rPr>
                <w:rFonts w:eastAsia="Times New Roman" w:cstheme="minorHAnsi"/>
              </w:rPr>
            </w:pPr>
          </w:p>
        </w:tc>
      </w:tr>
      <w:tr w:rsidR="00F4422B" w14:paraId="644D026D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AB2" w14:textId="77777777" w:rsidR="00F4422B" w:rsidRDefault="00F4422B" w:rsidP="000A42EE">
            <w:pPr>
              <w:spacing w:line="256" w:lineRule="auto"/>
            </w:pPr>
            <w:r>
              <w:t>Policies:</w:t>
            </w:r>
          </w:p>
          <w:p w14:paraId="0FBFCF43" w14:textId="77777777" w:rsidR="00F4422B" w:rsidRDefault="00F4422B" w:rsidP="000A42EE">
            <w:pPr>
              <w:spacing w:line="25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F157" w14:textId="05A1927C" w:rsidR="00F4422B" w:rsidRDefault="002B5370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policies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10F" w14:textId="77777777" w:rsidR="00F4422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0A4C50C3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F19A" w14:textId="77777777" w:rsidR="00F4422B" w:rsidRDefault="00F4422B" w:rsidP="000A42EE">
            <w:pPr>
              <w:spacing w:line="256" w:lineRule="auto"/>
            </w:pPr>
            <w:r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143" w14:textId="12F9F98A" w:rsidR="00F4422B" w:rsidRDefault="00F23921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Executive</w:t>
            </w:r>
            <w:proofErr w:type="gramEnd"/>
            <w:r>
              <w:rPr>
                <w:rFonts w:eastAsia="Times New Roman" w:cstheme="minorHAnsi"/>
              </w:rPr>
              <w:t xml:space="preserve"> Council reviewed the May College Council agenda and made revisions as necessary.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BF7" w14:textId="77777777" w:rsidR="00F4422B" w:rsidRDefault="00F4422B" w:rsidP="000A42E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67B4E671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AB7" w14:textId="76841ADE" w:rsidR="00F4422B" w:rsidRDefault="00F4422B" w:rsidP="00F4422B">
            <w:pPr>
              <w:spacing w:line="256" w:lineRule="auto"/>
              <w:textAlignment w:val="baseline"/>
            </w:pPr>
            <w:r w:rsidRPr="002218D4">
              <w:t>Feeback from Staff Senate Meeting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314" w14:textId="139220FC" w:rsidR="00F4422B" w:rsidRDefault="00E23F50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Ms. Robert</w:t>
            </w:r>
            <w:r w:rsidR="00BA2AB3">
              <w:rPr>
                <w:rFonts w:eastAsia="Times New Roman" w:cstheme="minorHAnsi"/>
              </w:rPr>
              <w:t>s</w:t>
            </w:r>
            <w:r w:rsidR="00510002">
              <w:rPr>
                <w:rFonts w:eastAsia="Times New Roman" w:cstheme="minorHAnsi"/>
              </w:rPr>
              <w:t xml:space="preserve"> provided a summary of the feedback from </w:t>
            </w:r>
            <w:proofErr w:type="gramStart"/>
            <w:r w:rsidR="00510002">
              <w:rPr>
                <w:rFonts w:eastAsia="Times New Roman" w:cstheme="minorHAnsi"/>
              </w:rPr>
              <w:t>Staff</w:t>
            </w:r>
            <w:proofErr w:type="gramEnd"/>
            <w:r w:rsidR="00510002">
              <w:rPr>
                <w:rFonts w:eastAsia="Times New Roman" w:cstheme="minorHAnsi"/>
              </w:rPr>
              <w:t xml:space="preserve"> Senate</w:t>
            </w:r>
            <w:r w:rsidR="001F25D4">
              <w:rPr>
                <w:rFonts w:eastAsia="Times New Roman" w:cstheme="minorHAnsi"/>
              </w:rPr>
              <w:t>, that included:</w:t>
            </w:r>
          </w:p>
          <w:p w14:paraId="24FB1729" w14:textId="43544B03" w:rsidR="001F25D4" w:rsidRPr="001F25D4" w:rsidRDefault="001F25D4" w:rsidP="001F25D4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1F25D4">
              <w:rPr>
                <w:rFonts w:eastAsia="Times New Roman" w:cstheme="minorHAnsi"/>
              </w:rPr>
              <w:t>Workshops</w:t>
            </w:r>
          </w:p>
          <w:p w14:paraId="3A22C560" w14:textId="77777777" w:rsidR="00510002" w:rsidRPr="001F25D4" w:rsidRDefault="00610FBF" w:rsidP="001F25D4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1F25D4">
              <w:rPr>
                <w:rFonts w:eastAsia="Times New Roman" w:cstheme="minorHAnsi"/>
              </w:rPr>
              <w:t xml:space="preserve">Replace </w:t>
            </w:r>
            <w:proofErr w:type="gramStart"/>
            <w:r w:rsidRPr="001F25D4">
              <w:rPr>
                <w:rFonts w:eastAsia="Times New Roman" w:cstheme="minorHAnsi"/>
              </w:rPr>
              <w:t>treadmill</w:t>
            </w:r>
            <w:proofErr w:type="gramEnd"/>
            <w:r w:rsidRPr="001F25D4">
              <w:rPr>
                <w:rFonts w:eastAsia="Times New Roman" w:cstheme="minorHAnsi"/>
              </w:rPr>
              <w:t xml:space="preserve"> in </w:t>
            </w:r>
            <w:proofErr w:type="gramStart"/>
            <w:r w:rsidRPr="001F25D4">
              <w:rPr>
                <w:rFonts w:eastAsia="Times New Roman" w:cstheme="minorHAnsi"/>
              </w:rPr>
              <w:t>exercise</w:t>
            </w:r>
            <w:proofErr w:type="gramEnd"/>
            <w:r w:rsidRPr="001F25D4">
              <w:rPr>
                <w:rFonts w:eastAsia="Times New Roman" w:cstheme="minorHAnsi"/>
              </w:rPr>
              <w:t xml:space="preserve"> room</w:t>
            </w:r>
          </w:p>
          <w:p w14:paraId="31CD4AB9" w14:textId="77777777" w:rsidR="00610FBF" w:rsidRPr="001F25D4" w:rsidRDefault="000A26A1" w:rsidP="001F25D4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1F25D4">
              <w:rPr>
                <w:rFonts w:eastAsia="Times New Roman" w:cstheme="minorHAnsi"/>
              </w:rPr>
              <w:t>Event burnout</w:t>
            </w:r>
          </w:p>
          <w:p w14:paraId="6F633275" w14:textId="77777777" w:rsidR="00034CA2" w:rsidRPr="001F25D4" w:rsidRDefault="00034CA2" w:rsidP="001F25D4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1F25D4">
              <w:rPr>
                <w:rFonts w:eastAsia="Times New Roman" w:cstheme="minorHAnsi"/>
              </w:rPr>
              <w:t>Summer schedule and flexibility with hours</w:t>
            </w:r>
            <w:r w:rsidR="009540A1" w:rsidRPr="001F25D4">
              <w:rPr>
                <w:rFonts w:eastAsia="Times New Roman" w:cstheme="minorHAnsi"/>
              </w:rPr>
              <w:t>.</w:t>
            </w:r>
          </w:p>
          <w:p w14:paraId="5A4712EB" w14:textId="34CEA4C2" w:rsidR="009540A1" w:rsidRDefault="009540A1" w:rsidP="009540A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lengthy discussion </w:t>
            </w:r>
            <w:r w:rsidR="00C81A80">
              <w:rPr>
                <w:rFonts w:eastAsia="Times New Roman" w:cstheme="minorHAnsi"/>
              </w:rPr>
              <w:t xml:space="preserve">about flexible hours took place, </w:t>
            </w:r>
            <w:r w:rsidR="008F1D04">
              <w:rPr>
                <w:rFonts w:eastAsia="Times New Roman" w:cstheme="minorHAnsi"/>
              </w:rPr>
              <w:t xml:space="preserve">and how best to keep the campus operational </w:t>
            </w:r>
            <w:r w:rsidR="00112A15">
              <w:rPr>
                <w:rFonts w:eastAsia="Times New Roman" w:cstheme="minorHAnsi"/>
              </w:rPr>
              <w:t xml:space="preserve">during the summer and allowing </w:t>
            </w:r>
            <w:r w:rsidR="00060581">
              <w:rPr>
                <w:rFonts w:eastAsia="Times New Roman" w:cstheme="minorHAnsi"/>
              </w:rPr>
              <w:t>for flexible, alternative schedules.</w:t>
            </w:r>
            <w:r w:rsidR="001F25D4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58C" w14:textId="5127968E" w:rsidR="00F4422B" w:rsidRDefault="00AB415A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Ms. Roberts will review the current remote work </w:t>
            </w:r>
            <w:r w:rsidR="00A17BE0">
              <w:rPr>
                <w:rFonts w:eastAsia="Times New Roman" w:cstheme="minorHAnsi"/>
              </w:rPr>
              <w:t>form and see if it can be</w:t>
            </w:r>
            <w:r w:rsidR="00F86465">
              <w:rPr>
                <w:rFonts w:eastAsia="Times New Roman" w:cstheme="minorHAnsi"/>
              </w:rPr>
              <w:t xml:space="preserve"> </w:t>
            </w:r>
            <w:r w:rsidR="00A17BE0">
              <w:rPr>
                <w:rFonts w:eastAsia="Times New Roman" w:cstheme="minorHAnsi"/>
              </w:rPr>
              <w:t xml:space="preserve">adjusted to </w:t>
            </w:r>
            <w:proofErr w:type="gramStart"/>
            <w:r w:rsidR="00A17BE0">
              <w:rPr>
                <w:rFonts w:eastAsia="Times New Roman" w:cstheme="minorHAnsi"/>
              </w:rPr>
              <w:t>fit</w:t>
            </w:r>
            <w:proofErr w:type="gramEnd"/>
            <w:r w:rsidR="00A17BE0">
              <w:rPr>
                <w:rFonts w:eastAsia="Times New Roman" w:cstheme="minorHAnsi"/>
              </w:rPr>
              <w:t xml:space="preserve"> the needs of alternative summer hours.</w:t>
            </w:r>
          </w:p>
        </w:tc>
      </w:tr>
      <w:tr w:rsidR="00F4422B" w14:paraId="2EE45F29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5D30" w14:textId="4507A072" w:rsidR="00F4422B" w:rsidRDefault="00F4422B" w:rsidP="00F4422B">
            <w:pPr>
              <w:spacing w:line="256" w:lineRule="auto"/>
              <w:textAlignment w:val="baseline"/>
            </w:pPr>
            <w:r w:rsidRPr="00C63CCB">
              <w:t>Position Refill Request, Nursing Director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FA2" w14:textId="7DC7134E" w:rsidR="00F4422B" w:rsidRDefault="0072720A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Erdmann </w:t>
            </w:r>
            <w:r w:rsidR="003E029A">
              <w:rPr>
                <w:rFonts w:eastAsia="Times New Roman" w:cstheme="minorHAnsi"/>
              </w:rPr>
              <w:t>requested to</w:t>
            </w:r>
            <w:r w:rsidR="00772B43">
              <w:rPr>
                <w:rFonts w:eastAsia="Times New Roman" w:cstheme="minorHAnsi"/>
              </w:rPr>
              <w:t xml:space="preserve"> refill </w:t>
            </w:r>
            <w:proofErr w:type="gramStart"/>
            <w:r w:rsidR="00772B43">
              <w:rPr>
                <w:rFonts w:eastAsia="Times New Roman" w:cstheme="minorHAnsi"/>
              </w:rPr>
              <w:t>Nursing</w:t>
            </w:r>
            <w:proofErr w:type="gramEnd"/>
            <w:r w:rsidR="00772B43">
              <w:rPr>
                <w:rFonts w:eastAsia="Times New Roman" w:cstheme="minorHAnsi"/>
              </w:rPr>
              <w:t xml:space="preserve"> Director position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8B5" w14:textId="49EEB000" w:rsidR="00F4422B" w:rsidRDefault="00772B43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F4422B" w14:paraId="32FA3F05" w14:textId="77777777" w:rsidTr="000A42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385B5" w14:textId="50A32189" w:rsidR="00F4422B" w:rsidRDefault="00F4422B" w:rsidP="00F4422B">
            <w:pPr>
              <w:spacing w:line="256" w:lineRule="auto"/>
              <w:textAlignment w:val="baseline"/>
            </w:pPr>
            <w:r w:rsidRPr="00C63CCB">
              <w:t>25-26 building calendar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341E" w14:textId="2F40EE07" w:rsidR="00F4422B" w:rsidRDefault="0073232E" w:rsidP="00F4422B">
            <w:pPr>
              <w:spacing w:line="256" w:lineRule="auto"/>
            </w:pPr>
            <w:r>
              <w:t>Ms. Roberts asked Executive Council to review the 25/26 building calendar</w:t>
            </w:r>
            <w:r w:rsidR="00685B68">
              <w:t xml:space="preserve"> and approve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21B0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2821A2C1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073BD" w14:textId="1D4A62BB" w:rsidR="00F4422B" w:rsidRDefault="00F4422B" w:rsidP="00F4422B">
            <w:pPr>
              <w:spacing w:line="256" w:lineRule="auto"/>
              <w:textAlignment w:val="baseline"/>
            </w:pPr>
            <w:r>
              <w:t>Remote Work Discussion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FA18" w14:textId="116F2E78" w:rsidR="0089275D" w:rsidRDefault="003D2487" w:rsidP="00F4422B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Erdmann requested </w:t>
            </w:r>
            <w:proofErr w:type="gramStart"/>
            <w:r>
              <w:rPr>
                <w:rFonts w:eastAsia="Times New Roman" w:cstheme="minorHAnsi"/>
              </w:rPr>
              <w:t>that as</w:t>
            </w:r>
            <w:proofErr w:type="gramEnd"/>
            <w:r>
              <w:rPr>
                <w:rFonts w:eastAsia="Times New Roman" w:cstheme="minorHAnsi"/>
              </w:rPr>
              <w:t xml:space="preserve"> we work through position description</w:t>
            </w:r>
            <w:r w:rsidR="00060581">
              <w:rPr>
                <w:rFonts w:eastAsia="Times New Roman" w:cstheme="minorHAnsi"/>
              </w:rPr>
              <w:t>s</w:t>
            </w:r>
            <w:r w:rsidR="00A72740">
              <w:rPr>
                <w:rFonts w:eastAsia="Times New Roman" w:cstheme="minorHAnsi"/>
              </w:rPr>
              <w:t xml:space="preserve"> to think about what job</w:t>
            </w:r>
            <w:r w:rsidR="00060581">
              <w:rPr>
                <w:rFonts w:eastAsia="Times New Roman" w:cstheme="minorHAnsi"/>
              </w:rPr>
              <w:t>s</w:t>
            </w:r>
            <w:r w:rsidR="00A72740">
              <w:rPr>
                <w:rFonts w:eastAsia="Times New Roman" w:cstheme="minorHAnsi"/>
              </w:rPr>
              <w:t xml:space="preserve"> can be </w:t>
            </w:r>
            <w:r w:rsidR="003E029A">
              <w:rPr>
                <w:rFonts w:eastAsia="Times New Roman" w:cstheme="minorHAnsi"/>
              </w:rPr>
              <w:t>remote work, on site, or hybrid</w:t>
            </w:r>
            <w:r w:rsidR="008A6F18">
              <w:rPr>
                <w:rFonts w:eastAsia="Times New Roman" w:cstheme="minorHAnsi"/>
              </w:rPr>
              <w:t xml:space="preserve">. This will </w:t>
            </w:r>
            <w:r w:rsidR="005D1EE4">
              <w:rPr>
                <w:rFonts w:eastAsia="Times New Roman" w:cstheme="minorHAnsi"/>
              </w:rPr>
              <w:t xml:space="preserve">aid in the posting of jobs </w:t>
            </w:r>
            <w:proofErr w:type="gramStart"/>
            <w:r w:rsidR="005D1EE4">
              <w:rPr>
                <w:rFonts w:eastAsia="Times New Roman" w:cstheme="minorHAnsi"/>
              </w:rPr>
              <w:t>and when</w:t>
            </w:r>
            <w:proofErr w:type="gramEnd"/>
            <w:r w:rsidR="005D1EE4">
              <w:rPr>
                <w:rFonts w:eastAsia="Times New Roman" w:cstheme="minorHAnsi"/>
              </w:rPr>
              <w:t xml:space="preserve"> reviewing remote work requests in the future.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3BCB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AB415A" w14:paraId="570A0B54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D44F" w14:textId="54CF233E" w:rsidR="00AB415A" w:rsidRDefault="00AB415A" w:rsidP="00F4422B">
            <w:pPr>
              <w:spacing w:line="256" w:lineRule="auto"/>
              <w:textAlignment w:val="baseline"/>
            </w:pPr>
            <w:r>
              <w:t>Summer Schedule Brainstorm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94FE" w14:textId="0B0794FE" w:rsidR="00AB415A" w:rsidRDefault="00AB415A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Erdmann asked if Executive Council could put their summer plans on to the EC calendar on Teams and </w:t>
            </w:r>
            <w:proofErr w:type="gramStart"/>
            <w:r>
              <w:rPr>
                <w:rFonts w:eastAsia="Times New Roman" w:cstheme="minorHAnsi"/>
              </w:rPr>
              <w:t>to communicate</w:t>
            </w:r>
            <w:proofErr w:type="gramEnd"/>
            <w:r>
              <w:rPr>
                <w:rFonts w:eastAsia="Times New Roman" w:cstheme="minorHAnsi"/>
              </w:rPr>
              <w:t xml:space="preserve"> leaving early </w:t>
            </w:r>
            <w:proofErr w:type="gramStart"/>
            <w:r>
              <w:rPr>
                <w:rFonts w:eastAsia="Times New Roman" w:cstheme="minorHAnsi"/>
              </w:rPr>
              <w:t>so</w:t>
            </w:r>
            <w:proofErr w:type="gramEnd"/>
            <w:r>
              <w:rPr>
                <w:rFonts w:eastAsia="Times New Roman" w:cstheme="minorHAnsi"/>
              </w:rPr>
              <w:t xml:space="preserve"> we can ensure we have coverage.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BA3F" w14:textId="77777777" w:rsidR="00AB415A" w:rsidRDefault="00AB415A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37B8DD57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D8EF2" w14:textId="49BA713B" w:rsidR="00F4422B" w:rsidRDefault="00F4422B" w:rsidP="00F4422B">
            <w:pPr>
              <w:spacing w:line="256" w:lineRule="auto"/>
              <w:textAlignment w:val="baseline"/>
            </w:pPr>
            <w:r>
              <w:t>Mid-Cycle Site Review Debrief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1A2AB" w14:textId="3F1CF608" w:rsidR="00F4422B" w:rsidRDefault="00D87F0C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Ortega</w:t>
            </w:r>
            <w:r w:rsidRPr="00D87F0C">
              <w:rPr>
                <w:rFonts w:eastAsia="Times New Roman" w:cstheme="minorHAnsi"/>
              </w:rPr>
              <w:t xml:space="preserve"> shared the </w:t>
            </w:r>
            <w:r w:rsidR="00060581">
              <w:rPr>
                <w:rFonts w:eastAsia="Times New Roman" w:cstheme="minorHAnsi"/>
              </w:rPr>
              <w:t>mid-cycle</w:t>
            </w:r>
            <w:r w:rsidR="00906F55">
              <w:rPr>
                <w:rFonts w:eastAsia="Times New Roman" w:cstheme="minorHAnsi"/>
              </w:rPr>
              <w:t xml:space="preserve"> peer evaluation</w:t>
            </w:r>
            <w:r w:rsidRPr="00D87F0C">
              <w:rPr>
                <w:rFonts w:eastAsia="Times New Roman" w:cstheme="minorHAnsi"/>
              </w:rPr>
              <w:t xml:space="preserve"> report and discussed the need to respond to any errors of fact by the 18</w:t>
            </w:r>
            <w:r w:rsidRPr="009D42D6">
              <w:rPr>
                <w:rFonts w:eastAsia="Times New Roman" w:cstheme="minorHAnsi"/>
                <w:vertAlign w:val="superscript"/>
              </w:rPr>
              <w:t>th</w:t>
            </w:r>
            <w:r w:rsidR="009D42D6">
              <w:rPr>
                <w:rFonts w:eastAsia="Times New Roman" w:cstheme="minorHAnsi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246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676442E0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1823" w14:textId="1096C159" w:rsidR="00F4422B" w:rsidRDefault="00F4422B" w:rsidP="00F4422B">
            <w:pPr>
              <w:spacing w:line="256" w:lineRule="auto"/>
              <w:textAlignment w:val="baseline"/>
            </w:pPr>
            <w:r w:rsidRPr="00B76621">
              <w:t>Funding Allocation Matrix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E622" w14:textId="5933E767" w:rsidR="00785714" w:rsidRDefault="00906F55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Following up on a topic discussed in the Executive Council meeting with the peer evaluators last week, Dr. Ortega shared a reminder about the budget allocation matrix which is a rubric that can be used when evaluating position requests. </w:t>
            </w:r>
            <w:r w:rsidR="007842FD">
              <w:rPr>
                <w:rFonts w:eastAsia="Times New Roman" w:cstheme="minorHAnsi"/>
              </w:rPr>
              <w:t>The matrix includes several criteria, including alignment with strategic priorities.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8404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7062F298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78C6" w14:textId="4E2257EF" w:rsidR="00F4422B" w:rsidRDefault="00530750" w:rsidP="00F4422B">
            <w:pPr>
              <w:spacing w:line="256" w:lineRule="auto"/>
              <w:textAlignment w:val="baseline"/>
            </w:pPr>
            <w:r>
              <w:t xml:space="preserve">Substance Abuse and Addictions </w:t>
            </w:r>
            <w:r w:rsidR="00B11066">
              <w:t>Counseling</w:t>
            </w:r>
            <w:r>
              <w:t xml:space="preserve"> Event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FEE6" w14:textId="44E0D94A" w:rsidR="00F4422B" w:rsidRDefault="00B11066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Frost</w:t>
            </w:r>
            <w:r w:rsidRPr="00B11066">
              <w:rPr>
                <w:rFonts w:eastAsia="Times New Roman" w:cstheme="minorHAnsi"/>
              </w:rPr>
              <w:t xml:space="preserve"> invited the team to support the Substance Abuse and Addictions Counseling student event funded by faculty innovation funds.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9586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4422B" w14:paraId="690DC0D8" w14:textId="77777777" w:rsidTr="000A42EE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A4E9" w14:textId="77777777" w:rsidR="00F4422B" w:rsidRDefault="00F4422B" w:rsidP="00F4422B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4382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82ED" w14:textId="77777777" w:rsidR="00F4422B" w:rsidRDefault="00F4422B" w:rsidP="00F4422B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FAC1D52" w14:textId="77777777" w:rsidR="00F4422B" w:rsidRDefault="00F4422B" w:rsidP="00F4422B"/>
    <w:p w14:paraId="18EDC07D" w14:textId="77777777" w:rsidR="00F4422B" w:rsidRDefault="00F4422B" w:rsidP="00F4422B"/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090"/>
    <w:multiLevelType w:val="hybridMultilevel"/>
    <w:tmpl w:val="5070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D03"/>
    <w:multiLevelType w:val="hybridMultilevel"/>
    <w:tmpl w:val="26DE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5"/>
  </w:num>
  <w:num w:numId="3" w16cid:durableId="776365472">
    <w:abstractNumId w:val="2"/>
  </w:num>
  <w:num w:numId="4" w16cid:durableId="249315907">
    <w:abstractNumId w:val="4"/>
  </w:num>
  <w:num w:numId="5" w16cid:durableId="1267078327">
    <w:abstractNumId w:val="7"/>
  </w:num>
  <w:num w:numId="6" w16cid:durableId="1013652236">
    <w:abstractNumId w:val="3"/>
  </w:num>
  <w:num w:numId="7" w16cid:durableId="815683359">
    <w:abstractNumId w:val="1"/>
  </w:num>
  <w:num w:numId="8" w16cid:durableId="1430348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34CA2"/>
    <w:rsid w:val="000418D4"/>
    <w:rsid w:val="000428C0"/>
    <w:rsid w:val="000436F3"/>
    <w:rsid w:val="00043925"/>
    <w:rsid w:val="00047A86"/>
    <w:rsid w:val="000524A8"/>
    <w:rsid w:val="000539E2"/>
    <w:rsid w:val="00060581"/>
    <w:rsid w:val="000644B8"/>
    <w:rsid w:val="00070933"/>
    <w:rsid w:val="0007215D"/>
    <w:rsid w:val="0007383C"/>
    <w:rsid w:val="00073D0F"/>
    <w:rsid w:val="00076C3A"/>
    <w:rsid w:val="0008510C"/>
    <w:rsid w:val="0009675A"/>
    <w:rsid w:val="000A26A1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2A15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3CE9"/>
    <w:rsid w:val="001A50EA"/>
    <w:rsid w:val="001A5AB8"/>
    <w:rsid w:val="001A74EC"/>
    <w:rsid w:val="001A7B81"/>
    <w:rsid w:val="001C42F4"/>
    <w:rsid w:val="001D4111"/>
    <w:rsid w:val="001F25D4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18D4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1230"/>
    <w:rsid w:val="002A24C9"/>
    <w:rsid w:val="002B4776"/>
    <w:rsid w:val="002B5370"/>
    <w:rsid w:val="002C2AB8"/>
    <w:rsid w:val="002C2B48"/>
    <w:rsid w:val="002C5CF2"/>
    <w:rsid w:val="002D0B23"/>
    <w:rsid w:val="002E2EB5"/>
    <w:rsid w:val="002E712B"/>
    <w:rsid w:val="002E7B53"/>
    <w:rsid w:val="002F4408"/>
    <w:rsid w:val="00300223"/>
    <w:rsid w:val="00306511"/>
    <w:rsid w:val="00310459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87C18"/>
    <w:rsid w:val="003A07EC"/>
    <w:rsid w:val="003A1714"/>
    <w:rsid w:val="003A66DF"/>
    <w:rsid w:val="003B50DA"/>
    <w:rsid w:val="003B5D04"/>
    <w:rsid w:val="003C0494"/>
    <w:rsid w:val="003C3102"/>
    <w:rsid w:val="003D13F5"/>
    <w:rsid w:val="003D2487"/>
    <w:rsid w:val="003E029A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1B5E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5884"/>
    <w:rsid w:val="004F0425"/>
    <w:rsid w:val="004F0A63"/>
    <w:rsid w:val="0050069A"/>
    <w:rsid w:val="00506DD1"/>
    <w:rsid w:val="00510002"/>
    <w:rsid w:val="00515A8C"/>
    <w:rsid w:val="00515A8E"/>
    <w:rsid w:val="005216A2"/>
    <w:rsid w:val="0052236E"/>
    <w:rsid w:val="00526F99"/>
    <w:rsid w:val="00530750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74272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1EE4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10FBF"/>
    <w:rsid w:val="00621E95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6F0D"/>
    <w:rsid w:val="0068238C"/>
    <w:rsid w:val="00685B68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3CD3"/>
    <w:rsid w:val="006D41F5"/>
    <w:rsid w:val="006E41AD"/>
    <w:rsid w:val="006E70F8"/>
    <w:rsid w:val="006E7618"/>
    <w:rsid w:val="00707C93"/>
    <w:rsid w:val="00724147"/>
    <w:rsid w:val="007254F8"/>
    <w:rsid w:val="0072720A"/>
    <w:rsid w:val="007272A7"/>
    <w:rsid w:val="0073018E"/>
    <w:rsid w:val="0073232E"/>
    <w:rsid w:val="00732FCC"/>
    <w:rsid w:val="0073520D"/>
    <w:rsid w:val="00737290"/>
    <w:rsid w:val="007413D8"/>
    <w:rsid w:val="00741FC2"/>
    <w:rsid w:val="007445C8"/>
    <w:rsid w:val="00744D41"/>
    <w:rsid w:val="00746E35"/>
    <w:rsid w:val="00746E6A"/>
    <w:rsid w:val="0074781F"/>
    <w:rsid w:val="007502F2"/>
    <w:rsid w:val="00751028"/>
    <w:rsid w:val="00752E40"/>
    <w:rsid w:val="00757A69"/>
    <w:rsid w:val="00757B88"/>
    <w:rsid w:val="007625F6"/>
    <w:rsid w:val="007704F2"/>
    <w:rsid w:val="00771FFD"/>
    <w:rsid w:val="00772B43"/>
    <w:rsid w:val="007765EE"/>
    <w:rsid w:val="00782894"/>
    <w:rsid w:val="007842FD"/>
    <w:rsid w:val="0078571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8A4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275D"/>
    <w:rsid w:val="00894763"/>
    <w:rsid w:val="00894973"/>
    <w:rsid w:val="008A3EDC"/>
    <w:rsid w:val="008A6F18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1D04"/>
    <w:rsid w:val="008F4C8E"/>
    <w:rsid w:val="009012CD"/>
    <w:rsid w:val="00906479"/>
    <w:rsid w:val="00906F55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40A1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42D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17BE0"/>
    <w:rsid w:val="00A25041"/>
    <w:rsid w:val="00A2756E"/>
    <w:rsid w:val="00A332E7"/>
    <w:rsid w:val="00A3398D"/>
    <w:rsid w:val="00A355D0"/>
    <w:rsid w:val="00A36930"/>
    <w:rsid w:val="00A36CCE"/>
    <w:rsid w:val="00A411D1"/>
    <w:rsid w:val="00A4592F"/>
    <w:rsid w:val="00A45F56"/>
    <w:rsid w:val="00A50210"/>
    <w:rsid w:val="00A553F6"/>
    <w:rsid w:val="00A55634"/>
    <w:rsid w:val="00A63318"/>
    <w:rsid w:val="00A64E23"/>
    <w:rsid w:val="00A72740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415A"/>
    <w:rsid w:val="00AB5F98"/>
    <w:rsid w:val="00AC5E24"/>
    <w:rsid w:val="00AC6C6D"/>
    <w:rsid w:val="00AD61E8"/>
    <w:rsid w:val="00AE1D80"/>
    <w:rsid w:val="00AE6283"/>
    <w:rsid w:val="00AF0656"/>
    <w:rsid w:val="00AF096A"/>
    <w:rsid w:val="00AF6800"/>
    <w:rsid w:val="00B01893"/>
    <w:rsid w:val="00B065B1"/>
    <w:rsid w:val="00B07EA4"/>
    <w:rsid w:val="00B11066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621"/>
    <w:rsid w:val="00B7693D"/>
    <w:rsid w:val="00B91824"/>
    <w:rsid w:val="00B97E91"/>
    <w:rsid w:val="00BA2AB3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63CCB"/>
    <w:rsid w:val="00C80CF1"/>
    <w:rsid w:val="00C81A80"/>
    <w:rsid w:val="00C83CA6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A3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6016F"/>
    <w:rsid w:val="00D73331"/>
    <w:rsid w:val="00D74D17"/>
    <w:rsid w:val="00D81797"/>
    <w:rsid w:val="00D82EDF"/>
    <w:rsid w:val="00D8305A"/>
    <w:rsid w:val="00D8417E"/>
    <w:rsid w:val="00D87F0C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E6618"/>
    <w:rsid w:val="00DF320D"/>
    <w:rsid w:val="00DF5F5B"/>
    <w:rsid w:val="00E04A02"/>
    <w:rsid w:val="00E12B11"/>
    <w:rsid w:val="00E163AF"/>
    <w:rsid w:val="00E20530"/>
    <w:rsid w:val="00E226D2"/>
    <w:rsid w:val="00E23F50"/>
    <w:rsid w:val="00E2479E"/>
    <w:rsid w:val="00E30BCD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518B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3921"/>
    <w:rsid w:val="00F256E6"/>
    <w:rsid w:val="00F257E3"/>
    <w:rsid w:val="00F317E0"/>
    <w:rsid w:val="00F36E61"/>
    <w:rsid w:val="00F37A59"/>
    <w:rsid w:val="00F4422B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7541C"/>
    <w:rsid w:val="00F81A4F"/>
    <w:rsid w:val="00F84FC4"/>
    <w:rsid w:val="00F856CE"/>
    <w:rsid w:val="00F86465"/>
    <w:rsid w:val="00F9171A"/>
    <w:rsid w:val="00F91810"/>
    <w:rsid w:val="00F9331A"/>
    <w:rsid w:val="00F9561B"/>
    <w:rsid w:val="00FA752B"/>
    <w:rsid w:val="00FB0F50"/>
    <w:rsid w:val="00FB13DF"/>
    <w:rsid w:val="00FC0ECC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42B6"/>
    <w:rsid w:val="00FF5D35"/>
    <w:rsid w:val="00FF64A9"/>
    <w:rsid w:val="00FF7F7C"/>
    <w:rsid w:val="18381200"/>
    <w:rsid w:val="49188792"/>
    <w:rsid w:val="4CFF67FE"/>
    <w:rsid w:val="68076184"/>
    <w:rsid w:val="6DBF6B4F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05E60626-3D26-4730-A371-C9D2D02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6" ma:contentTypeDescription="Create a new document." ma:contentTypeScope="" ma:versionID="84c16972d5bcc1be44105f21961e8a2e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a3e340f225f5c226608aeece641cacf9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4.xml><?xml version="1.0" encoding="utf-8"?>
<ds:datastoreItem xmlns:ds="http://schemas.openxmlformats.org/officeDocument/2006/customXml" ds:itemID="{4EBDE711-76E6-4BD8-801C-599EAC78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47</cp:revision>
  <cp:lastPrinted>2025-04-10T19:06:00Z</cp:lastPrinted>
  <dcterms:created xsi:type="dcterms:W3CDTF">2025-04-10T19:06:00Z</dcterms:created>
  <dcterms:modified xsi:type="dcterms:W3CDTF">2025-04-24T21:07:00Z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