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2BE4B73D" w:rsidR="00232783" w:rsidRDefault="005D4316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 6</w:t>
                            </w:r>
                            <w:r w:rsidR="00232783">
                              <w:rPr>
                                <w:b/>
                              </w:rPr>
                              <w:t>, 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232783">
                              <w:rPr>
                                <w:b/>
                              </w:rPr>
                              <w:t>3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4F4093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2BE4B73D" w:rsidR="00232783" w:rsidRDefault="005D4316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 6</w:t>
                      </w:r>
                      <w:r w:rsidR="00232783">
                        <w:rPr>
                          <w:b/>
                        </w:rPr>
                        <w:t>, 202</w:t>
                      </w:r>
                      <w:r w:rsidR="00996337">
                        <w:rPr>
                          <w:b/>
                        </w:rPr>
                        <w:t>5</w:t>
                      </w:r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232783">
                        <w:rPr>
                          <w:b/>
                        </w:rPr>
                        <w:t>3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4F4093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79EA1AE8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2E37F8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2E37F8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79EA1AE8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1C31009A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8125CF">
              <w:t>2.27.25</w:t>
            </w:r>
          </w:p>
          <w:bookmarkStart w:id="2" w:name="_MON_1802518211"/>
          <w:bookmarkEnd w:id="2"/>
          <w:p w14:paraId="7870990B" w14:textId="19A86CBC" w:rsidR="0094029D" w:rsidRPr="0055797B" w:rsidRDefault="00670573" w:rsidP="0094029D">
            <w:r>
              <w:object w:dxaOrig="1539" w:dyaOrig="994" w14:anchorId="6D6022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9.45pt" o:ole="">
                  <v:imagedata r:id="rId9" o:title=""/>
                </v:shape>
                <o:OLEObject Type="Embed" ProgID="Word.Document.12" ShapeID="_x0000_i1025" DrawAspect="Icon" ObjectID="_1802782740" r:id="rId10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79EA1AE8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60598E74" w14:textId="77777777" w:rsidR="0094029D" w:rsidRDefault="00F52029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902.1</w:t>
            </w:r>
          </w:p>
          <w:p w14:paraId="1FDBD9BB" w14:textId="77777777" w:rsidR="00F52029" w:rsidRDefault="00F52029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902.4</w:t>
            </w:r>
          </w:p>
          <w:p w14:paraId="56DCC8A2" w14:textId="229F9E4E" w:rsidR="00F52029" w:rsidRPr="002E7B53" w:rsidRDefault="00F52029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902.5</w:t>
            </w: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45A41BA0" w:rsidR="0094029D" w:rsidRDefault="0094029D" w:rsidP="0094029D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94029D" w:rsidRPr="007949C2" w14:paraId="542D133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3D7EEE16" w:rsidR="0094029D" w:rsidRDefault="7046E2F5" w:rsidP="0094029D">
            <w:r>
              <w:t>20</w:t>
            </w:r>
            <w:r w:rsidR="0076510E">
              <w:t xml:space="preserve"> min</w:t>
            </w:r>
          </w:p>
        </w:tc>
        <w:tc>
          <w:tcPr>
            <w:tcW w:w="5400" w:type="dxa"/>
            <w:shd w:val="clear" w:color="auto" w:fill="auto"/>
          </w:tcPr>
          <w:p w14:paraId="012D18DC" w14:textId="515588FE" w:rsidR="0094029D" w:rsidRDefault="37984618" w:rsidP="0094029D">
            <w:r>
              <w:t>Mindful Communication</w:t>
            </w:r>
          </w:p>
        </w:tc>
        <w:tc>
          <w:tcPr>
            <w:tcW w:w="1890" w:type="dxa"/>
            <w:shd w:val="clear" w:color="auto" w:fill="auto"/>
          </w:tcPr>
          <w:p w14:paraId="3A1F55D6" w14:textId="796CE5EC" w:rsidR="0094029D" w:rsidRDefault="0076510E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5F2CC922" w14:textId="705F2A61" w:rsidR="0094029D" w:rsidRDefault="0076510E" w:rsidP="00D43B47">
            <w:r>
              <w:t>Discussion</w:t>
            </w:r>
          </w:p>
        </w:tc>
      </w:tr>
      <w:tr w:rsidR="0094029D" w:rsidRPr="007949C2" w14:paraId="1A17886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662FD1C5" w:rsidR="0094029D" w:rsidRDefault="0094029D" w:rsidP="0094029D"/>
        </w:tc>
        <w:tc>
          <w:tcPr>
            <w:tcW w:w="5400" w:type="dxa"/>
            <w:shd w:val="clear" w:color="auto" w:fill="auto"/>
          </w:tcPr>
          <w:p w14:paraId="56CB80B8" w14:textId="1F1AE780" w:rsidR="0094029D" w:rsidRPr="0007215D" w:rsidRDefault="0094029D" w:rsidP="0094029D"/>
        </w:tc>
        <w:tc>
          <w:tcPr>
            <w:tcW w:w="1890" w:type="dxa"/>
            <w:shd w:val="clear" w:color="auto" w:fill="auto"/>
          </w:tcPr>
          <w:p w14:paraId="58160495" w14:textId="7D491469" w:rsidR="0094029D" w:rsidRDefault="0094029D" w:rsidP="0094029D"/>
        </w:tc>
        <w:tc>
          <w:tcPr>
            <w:tcW w:w="2610" w:type="dxa"/>
            <w:shd w:val="clear" w:color="auto" w:fill="auto"/>
          </w:tcPr>
          <w:p w14:paraId="5FBABDFD" w14:textId="77A10A76" w:rsidR="0094029D" w:rsidRDefault="0094029D" w:rsidP="0094029D"/>
        </w:tc>
      </w:tr>
      <w:tr w:rsidR="0094029D" w:rsidRPr="007949C2" w14:paraId="75496DE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561FA83" w14:textId="07BCE1B0" w:rsidR="0094029D" w:rsidRDefault="0094029D" w:rsidP="0094029D"/>
        </w:tc>
        <w:tc>
          <w:tcPr>
            <w:tcW w:w="5400" w:type="dxa"/>
            <w:shd w:val="clear" w:color="auto" w:fill="auto"/>
          </w:tcPr>
          <w:p w14:paraId="2AD44D21" w14:textId="742AC120" w:rsidR="0094029D" w:rsidRDefault="0094029D" w:rsidP="0094029D"/>
        </w:tc>
        <w:tc>
          <w:tcPr>
            <w:tcW w:w="1890" w:type="dxa"/>
            <w:shd w:val="clear" w:color="auto" w:fill="auto"/>
          </w:tcPr>
          <w:p w14:paraId="2D9FC727" w14:textId="273FDE90" w:rsidR="0094029D" w:rsidRDefault="0094029D" w:rsidP="0094029D"/>
        </w:tc>
        <w:tc>
          <w:tcPr>
            <w:tcW w:w="2610" w:type="dxa"/>
            <w:shd w:val="clear" w:color="auto" w:fill="auto"/>
          </w:tcPr>
          <w:p w14:paraId="65A7E6AD" w14:textId="584A108E" w:rsidR="0094029D" w:rsidRDefault="0094029D" w:rsidP="0094029D"/>
        </w:tc>
      </w:tr>
      <w:tr w:rsidR="0094029D" w:rsidRPr="007949C2" w14:paraId="0C37CE29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7FEC3C03" w14:textId="052211D4" w:rsidR="0094029D" w:rsidRDefault="0094029D" w:rsidP="0094029D"/>
        </w:tc>
        <w:tc>
          <w:tcPr>
            <w:tcW w:w="5400" w:type="dxa"/>
            <w:shd w:val="clear" w:color="auto" w:fill="auto"/>
          </w:tcPr>
          <w:p w14:paraId="24C72F1C" w14:textId="41340EA1" w:rsidR="0094029D" w:rsidRPr="0007215D" w:rsidRDefault="0094029D" w:rsidP="0094029D"/>
        </w:tc>
        <w:tc>
          <w:tcPr>
            <w:tcW w:w="1890" w:type="dxa"/>
            <w:shd w:val="clear" w:color="auto" w:fill="auto"/>
          </w:tcPr>
          <w:p w14:paraId="08670DEE" w14:textId="77C44FBD" w:rsidR="0094029D" w:rsidRDefault="0094029D" w:rsidP="0094029D"/>
        </w:tc>
        <w:tc>
          <w:tcPr>
            <w:tcW w:w="2610" w:type="dxa"/>
            <w:shd w:val="clear" w:color="auto" w:fill="auto"/>
          </w:tcPr>
          <w:p w14:paraId="748E253F" w14:textId="2C69F40D" w:rsidR="0094029D" w:rsidRPr="0007215D" w:rsidRDefault="0094029D" w:rsidP="0094029D"/>
        </w:tc>
      </w:tr>
      <w:bookmarkEnd w:id="0"/>
    </w:tbl>
    <w:p w14:paraId="0F5AF7B1" w14:textId="6AA6031F" w:rsidR="00FE59F2" w:rsidRDefault="00FE59F2" w:rsidP="00DF5F5B"/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410"/>
        <w:gridCol w:w="3510"/>
      </w:tblGrid>
      <w:tr w:rsidR="00B8312F" w14:paraId="603674F7" w14:textId="77777777" w:rsidTr="002E7675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7DDC488E" w14:textId="77777777" w:rsidR="00B8312F" w:rsidRDefault="00B8312F" w:rsidP="002E7675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Topic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06D86467" w14:textId="77777777" w:rsidR="00B8312F" w:rsidRDefault="00B8312F" w:rsidP="002E7675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Discussion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36907DCA" w14:textId="77777777" w:rsidR="00B8312F" w:rsidRDefault="00B8312F" w:rsidP="002E7675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Action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</w:tr>
      <w:tr w:rsidR="00B8312F" w14:paraId="51C60B7F" w14:textId="77777777" w:rsidTr="002E767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059E" w14:textId="77777777" w:rsidR="00B8312F" w:rsidRDefault="00B8312F" w:rsidP="002E7675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Approval of EC minutes  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48BB" w14:textId="77777777" w:rsidR="00B8312F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Minutes were approved as written.  </w:t>
            </w:r>
          </w:p>
          <w:p w14:paraId="7508E899" w14:textId="77777777" w:rsidR="00B8312F" w:rsidRPr="007E039B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</w:rPr>
              <w:t xml:space="preserve">Posted minutes can be found </w:t>
            </w:r>
            <w:r>
              <w:rPr>
                <w:rFonts w:eastAsia="Times New Roman" w:cstheme="minorHAnsi"/>
                <w:color w:val="0563C1"/>
                <w:u w:val="single"/>
              </w:rPr>
              <w:t>here</w:t>
            </w:r>
            <w:r>
              <w:rPr>
                <w:rFonts w:eastAsia="Times New Roman" w:cstheme="minorHAnsi"/>
              </w:rPr>
              <w:t> 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3E66" w14:textId="6B171F6C" w:rsidR="00B8312F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7E039B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</w:t>
            </w:r>
            <w:r w:rsidR="00E423FB">
              <w:rPr>
                <w:rFonts w:eastAsia="Times New Roman" w:cstheme="minorHAnsi"/>
              </w:rPr>
              <w:t>Dr. Ortega</w:t>
            </w:r>
          </w:p>
          <w:p w14:paraId="5CF6C2F8" w14:textId="0D608C40" w:rsidR="00B8312F" w:rsidRPr="00E423FB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7E039B">
              <w:rPr>
                <w:rFonts w:eastAsia="Times New Roman" w:cstheme="minorHAnsi"/>
                <w:vertAlign w:val="superscript"/>
              </w:rPr>
              <w:t>nd</w:t>
            </w:r>
            <w:r w:rsidR="00E423FB">
              <w:rPr>
                <w:rFonts w:eastAsia="Times New Roman" w:cstheme="minorHAnsi"/>
              </w:rPr>
              <w:t xml:space="preserve"> Dr. Frost</w:t>
            </w:r>
          </w:p>
          <w:p w14:paraId="01A27DF0" w14:textId="77777777" w:rsidR="00B8312F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B8312F" w14:paraId="64CD5889" w14:textId="77777777" w:rsidTr="002E7675">
        <w:trPr>
          <w:trHeight w:val="94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E087" w14:textId="77777777" w:rsidR="00B8312F" w:rsidRDefault="00B8312F" w:rsidP="002E7675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t>Call for Additional Agenda Items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C39" w14:textId="77777777" w:rsidR="00B8312F" w:rsidRDefault="00F30100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River Otter uniform</w:t>
            </w:r>
          </w:p>
          <w:p w14:paraId="50B974BB" w14:textId="30C82CAD" w:rsidR="00ED5BD0" w:rsidRDefault="00ED5BD0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NWCCU Visit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407" w14:textId="77777777" w:rsidR="00B8312F" w:rsidRDefault="00B8312F" w:rsidP="002E7675">
            <w:pPr>
              <w:rPr>
                <w:rFonts w:eastAsia="Times New Roman" w:cstheme="minorHAnsi"/>
              </w:rPr>
            </w:pPr>
          </w:p>
        </w:tc>
      </w:tr>
      <w:tr w:rsidR="00B8312F" w14:paraId="47B9FF78" w14:textId="77777777" w:rsidTr="002E767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3AF" w14:textId="77777777" w:rsidR="00B8312F" w:rsidRDefault="00B8312F" w:rsidP="002E7675">
            <w:pPr>
              <w:spacing w:line="256" w:lineRule="auto"/>
            </w:pPr>
            <w:r>
              <w:t>Policies:</w:t>
            </w:r>
          </w:p>
          <w:p w14:paraId="55C4DA56" w14:textId="77777777" w:rsidR="00B8312F" w:rsidRDefault="00B8312F" w:rsidP="002E7675">
            <w:pPr>
              <w:spacing w:line="256" w:lineRule="auto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E929" w14:textId="77777777" w:rsidR="00B8312F" w:rsidRDefault="00AB5DE2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Frost </w:t>
            </w:r>
            <w:r w:rsidR="00C31A95">
              <w:rPr>
                <w:rFonts w:eastAsia="Times New Roman" w:cstheme="minorHAnsi"/>
              </w:rPr>
              <w:t>re</w:t>
            </w:r>
            <w:r w:rsidR="003E6C80">
              <w:rPr>
                <w:rFonts w:eastAsia="Times New Roman" w:cstheme="minorHAnsi"/>
              </w:rPr>
              <w:t>viewed the following policies:</w:t>
            </w:r>
          </w:p>
          <w:p w14:paraId="16E6A83B" w14:textId="77777777" w:rsidR="003E6C80" w:rsidRDefault="003E6C80" w:rsidP="003E6C8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902.1</w:t>
            </w:r>
          </w:p>
          <w:p w14:paraId="29D0AD36" w14:textId="77777777" w:rsidR="003E6C80" w:rsidRDefault="003E6C80" w:rsidP="003E6C8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902.4</w:t>
            </w:r>
          </w:p>
          <w:p w14:paraId="7BF9064E" w14:textId="4591B8EC" w:rsidR="003E6C80" w:rsidRDefault="003E6C80" w:rsidP="003E6C80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902.5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D89" w14:textId="4EB66543" w:rsidR="00ED5BD0" w:rsidRDefault="00ED5BD0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ED5BD0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Ms. Jones</w:t>
            </w:r>
          </w:p>
          <w:p w14:paraId="2C38F266" w14:textId="7F0D4F2F" w:rsidR="00ED5BD0" w:rsidRDefault="00ED5BD0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ED5BD0">
              <w:rPr>
                <w:rFonts w:eastAsia="Times New Roman" w:cstheme="minorHAnsi"/>
                <w:vertAlign w:val="superscript"/>
              </w:rPr>
              <w:t>nd</w:t>
            </w:r>
            <w:r>
              <w:rPr>
                <w:rFonts w:eastAsia="Times New Roman" w:cstheme="minorHAnsi"/>
              </w:rPr>
              <w:t xml:space="preserve"> Mr. Thompson</w:t>
            </w:r>
          </w:p>
          <w:p w14:paraId="1B73E236" w14:textId="28551CBB" w:rsidR="00B8312F" w:rsidRDefault="003E6C80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 to move to College C</w:t>
            </w:r>
            <w:r w:rsidR="00ED5BD0">
              <w:rPr>
                <w:rFonts w:eastAsia="Times New Roman" w:cstheme="minorHAnsi"/>
              </w:rPr>
              <w:t>o</w:t>
            </w:r>
            <w:r>
              <w:rPr>
                <w:rFonts w:eastAsia="Times New Roman" w:cstheme="minorHAnsi"/>
              </w:rPr>
              <w:t>uncil</w:t>
            </w:r>
          </w:p>
        </w:tc>
      </w:tr>
      <w:tr w:rsidR="00B8312F" w14:paraId="066D212F" w14:textId="77777777" w:rsidTr="002E767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6DDE" w14:textId="77777777" w:rsidR="00B8312F" w:rsidRDefault="00B8312F" w:rsidP="002E7675">
            <w:pPr>
              <w:spacing w:line="256" w:lineRule="auto"/>
            </w:pPr>
            <w:r>
              <w:t xml:space="preserve">College Council Planning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E3B" w14:textId="6C06BA3D" w:rsidR="00B8312F" w:rsidRDefault="006C3FE4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Executive Council reviewed the March and April College Council agendas and </w:t>
            </w:r>
            <w:r w:rsidR="00C31A95">
              <w:rPr>
                <w:rFonts w:eastAsia="Times New Roman" w:cstheme="minorHAnsi"/>
              </w:rPr>
              <w:t xml:space="preserve">made adjustments as necessary.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C71" w14:textId="77777777" w:rsidR="00B8312F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ED5BD0" w14:paraId="604C307D" w14:textId="77777777" w:rsidTr="002E767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508" w14:textId="7B738885" w:rsidR="00ED5BD0" w:rsidRDefault="00ED5BD0" w:rsidP="002E7675">
            <w:pPr>
              <w:spacing w:line="256" w:lineRule="auto"/>
            </w:pPr>
            <w:r>
              <w:lastRenderedPageBreak/>
              <w:t>NWCCU Visit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79C" w14:textId="29898215" w:rsidR="00ED5BD0" w:rsidRDefault="00ED5BD0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Executive Council reviewed the draft </w:t>
            </w:r>
            <w:r w:rsidR="00026112">
              <w:rPr>
                <w:rFonts w:eastAsia="Times New Roman" w:cstheme="minorHAnsi"/>
              </w:rPr>
              <w:t>schedule for NWC</w:t>
            </w:r>
            <w:r w:rsidR="00E91B68">
              <w:rPr>
                <w:rFonts w:eastAsia="Times New Roman" w:cstheme="minorHAnsi"/>
              </w:rPr>
              <w:t>CU</w:t>
            </w:r>
            <w:r w:rsidR="00AF7B6F">
              <w:rPr>
                <w:rFonts w:eastAsia="Times New Roman" w:cstheme="minorHAnsi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BE2" w14:textId="77777777" w:rsidR="00ED5BD0" w:rsidRDefault="00ED5BD0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8312F" w14:paraId="73A0618E" w14:textId="77777777" w:rsidTr="002E767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AB5E" w14:textId="09205FCF" w:rsidR="00B8312F" w:rsidRDefault="00B8312F" w:rsidP="002E7675">
            <w:pPr>
              <w:spacing w:line="256" w:lineRule="auto"/>
            </w:pPr>
            <w:r>
              <w:t>Mindful Communications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DD5" w14:textId="04924C08" w:rsidR="00B8312F" w:rsidRDefault="00AF7B6F" w:rsidP="002E7675">
            <w:pPr>
              <w:spacing w:line="256" w:lineRule="auto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Dr. Ortega led a discussion</w:t>
            </w:r>
            <w:r w:rsidR="00D53CB3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93699D">
              <w:rPr>
                <w:rFonts w:ascii="Segoe UI" w:hAnsi="Segoe UI" w:cs="Segoe UI"/>
                <w:sz w:val="21"/>
                <w:szCs w:val="21"/>
              </w:rPr>
              <w:t xml:space="preserve">on </w:t>
            </w:r>
            <w:r w:rsidR="00BA4F4F">
              <w:rPr>
                <w:rFonts w:ascii="Segoe UI" w:hAnsi="Segoe UI" w:cs="Segoe UI"/>
                <w:sz w:val="21"/>
                <w:szCs w:val="21"/>
              </w:rPr>
              <w:t>how Executive Council</w:t>
            </w:r>
            <w:r w:rsidR="00466FE6">
              <w:rPr>
                <w:rFonts w:ascii="Segoe UI" w:hAnsi="Segoe UI" w:cs="Segoe UI"/>
                <w:sz w:val="21"/>
                <w:szCs w:val="21"/>
              </w:rPr>
              <w:t xml:space="preserve"> can help campus </w:t>
            </w:r>
            <w:r w:rsidR="00487628">
              <w:rPr>
                <w:rFonts w:ascii="Segoe UI" w:hAnsi="Segoe UI" w:cs="Segoe UI"/>
                <w:sz w:val="21"/>
                <w:szCs w:val="21"/>
              </w:rPr>
              <w:t>be more mindful in their communications</w:t>
            </w:r>
            <w:r w:rsidR="002A45B7">
              <w:rPr>
                <w:rFonts w:ascii="Segoe UI" w:hAnsi="Segoe UI" w:cs="Segoe UI"/>
                <w:sz w:val="21"/>
                <w:szCs w:val="21"/>
              </w:rPr>
              <w:t xml:space="preserve"> and be more respectful in meetings and social interactions</w:t>
            </w:r>
            <w:r w:rsidR="00E64F17">
              <w:rPr>
                <w:rFonts w:ascii="Segoe UI" w:hAnsi="Segoe UI" w:cs="Segoe UI"/>
                <w:sz w:val="21"/>
                <w:szCs w:val="21"/>
              </w:rPr>
              <w:t>.</w:t>
            </w:r>
            <w:r w:rsidR="00A351CE"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F33" w14:textId="767A88BD" w:rsidR="00B8312F" w:rsidRDefault="000A3CAA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Executive Council will work toward implementing guidelines </w:t>
            </w:r>
            <w:r w:rsidR="00AB615A">
              <w:rPr>
                <w:rFonts w:eastAsia="Times New Roman" w:cstheme="minorHAnsi"/>
              </w:rPr>
              <w:t xml:space="preserve">and skills </w:t>
            </w:r>
            <w:r>
              <w:rPr>
                <w:rFonts w:eastAsia="Times New Roman" w:cstheme="minorHAnsi"/>
              </w:rPr>
              <w:t>for committee chairs</w:t>
            </w:r>
            <w:r w:rsidR="00AB615A">
              <w:rPr>
                <w:rFonts w:eastAsia="Times New Roman" w:cstheme="minorHAnsi"/>
              </w:rPr>
              <w:t xml:space="preserve"> to use during their meetings. </w:t>
            </w:r>
            <w:r w:rsidR="002F6383">
              <w:rPr>
                <w:rFonts w:eastAsia="Times New Roman" w:cstheme="minorHAnsi"/>
              </w:rPr>
              <w:t>Ms. Selena Coburn</w:t>
            </w:r>
            <w:r w:rsidR="007D03AD">
              <w:rPr>
                <w:rFonts w:eastAsia="Times New Roman" w:cstheme="minorHAnsi"/>
              </w:rPr>
              <w:t xml:space="preserve"> will be asked to attend the next meeting to share her best practices</w:t>
            </w:r>
            <w:r w:rsidR="002264AC">
              <w:rPr>
                <w:rFonts w:eastAsia="Times New Roman" w:cstheme="minorHAnsi"/>
              </w:rPr>
              <w:t>.</w:t>
            </w:r>
          </w:p>
        </w:tc>
      </w:tr>
      <w:tr w:rsidR="00B8312F" w14:paraId="36657558" w14:textId="77777777" w:rsidTr="002E767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701B" w14:textId="0A583049" w:rsidR="00B8312F" w:rsidRDefault="00AF7B6F" w:rsidP="002E7675">
            <w:pPr>
              <w:spacing w:line="256" w:lineRule="auto"/>
              <w:textAlignment w:val="baseline"/>
            </w:pPr>
            <w:r>
              <w:t>River Otter uniform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AED4" w14:textId="72BC3C62" w:rsidR="00B8312F" w:rsidRDefault="00D7230D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Mr. Thompson </w:t>
            </w:r>
            <w:r w:rsidR="00F91CF1">
              <w:rPr>
                <w:rFonts w:eastAsia="Times New Roman" w:cstheme="minorHAnsi"/>
              </w:rPr>
              <w:t xml:space="preserve">discussed a proposal from </w:t>
            </w:r>
            <w:r w:rsidR="00844822">
              <w:rPr>
                <w:rFonts w:eastAsia="Times New Roman" w:cstheme="minorHAnsi"/>
              </w:rPr>
              <w:t xml:space="preserve">the Voyagers </w:t>
            </w:r>
            <w:r w:rsidR="004E58AA">
              <w:rPr>
                <w:rFonts w:eastAsia="Times New Roman" w:cstheme="minorHAnsi"/>
              </w:rPr>
              <w:t xml:space="preserve">manager </w:t>
            </w:r>
            <w:r w:rsidR="00521297">
              <w:rPr>
                <w:rFonts w:eastAsia="Times New Roman" w:cstheme="minorHAnsi"/>
              </w:rPr>
              <w:t xml:space="preserve">for </w:t>
            </w:r>
            <w:r w:rsidR="000156A1">
              <w:rPr>
                <w:rFonts w:eastAsia="Times New Roman" w:cstheme="minorHAnsi"/>
              </w:rPr>
              <w:t xml:space="preserve">apparel worn by players during the regular season games.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79A" w14:textId="77777777" w:rsidR="00B8312F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8312F" w14:paraId="0030FC44" w14:textId="77777777" w:rsidTr="002E767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85DC" w14:textId="77777777" w:rsidR="00B8312F" w:rsidRDefault="00B8312F" w:rsidP="002E7675">
            <w:pPr>
              <w:spacing w:line="256" w:lineRule="auto"/>
              <w:textAlignment w:val="baseline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4168" w14:textId="77777777" w:rsidR="00B8312F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F9F" w14:textId="77777777" w:rsidR="00B8312F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8312F" w14:paraId="503DC3A1" w14:textId="77777777" w:rsidTr="002E767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A6456" w14:textId="77777777" w:rsidR="00B8312F" w:rsidRDefault="00B8312F" w:rsidP="002E7675">
            <w:pPr>
              <w:spacing w:line="256" w:lineRule="auto"/>
              <w:textAlignment w:val="baseline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83AD2" w14:textId="77777777" w:rsidR="00B8312F" w:rsidRDefault="00B8312F" w:rsidP="002E7675">
            <w:pPr>
              <w:spacing w:line="256" w:lineRule="auto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4AA8" w14:textId="77777777" w:rsidR="00B8312F" w:rsidRDefault="00B8312F" w:rsidP="002E7675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5A392286" w14:textId="77777777" w:rsidR="00B8312F" w:rsidRDefault="00B8312F" w:rsidP="00DF5F5B"/>
    <w:sectPr w:rsidR="00B8312F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56A1"/>
    <w:rsid w:val="00016A2E"/>
    <w:rsid w:val="00025B7E"/>
    <w:rsid w:val="000260A7"/>
    <w:rsid w:val="00026112"/>
    <w:rsid w:val="00033F4C"/>
    <w:rsid w:val="000418D4"/>
    <w:rsid w:val="000428C0"/>
    <w:rsid w:val="00042C38"/>
    <w:rsid w:val="000436F3"/>
    <w:rsid w:val="00043925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9675A"/>
    <w:rsid w:val="000A3CAA"/>
    <w:rsid w:val="000A6FD3"/>
    <w:rsid w:val="000B29E9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CEF"/>
    <w:rsid w:val="001150B1"/>
    <w:rsid w:val="0011600E"/>
    <w:rsid w:val="00125714"/>
    <w:rsid w:val="00143602"/>
    <w:rsid w:val="00145256"/>
    <w:rsid w:val="001519D7"/>
    <w:rsid w:val="00152B31"/>
    <w:rsid w:val="00156279"/>
    <w:rsid w:val="001572FB"/>
    <w:rsid w:val="001622C4"/>
    <w:rsid w:val="0016508A"/>
    <w:rsid w:val="00167561"/>
    <w:rsid w:val="00174663"/>
    <w:rsid w:val="00175BAD"/>
    <w:rsid w:val="00176C52"/>
    <w:rsid w:val="001918B6"/>
    <w:rsid w:val="00192BAD"/>
    <w:rsid w:val="001A50EA"/>
    <w:rsid w:val="001A5AB8"/>
    <w:rsid w:val="001A74EC"/>
    <w:rsid w:val="001A7B81"/>
    <w:rsid w:val="001C42F4"/>
    <w:rsid w:val="001D4111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4636"/>
    <w:rsid w:val="002264AC"/>
    <w:rsid w:val="00232783"/>
    <w:rsid w:val="00233A45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816BC"/>
    <w:rsid w:val="00293A1F"/>
    <w:rsid w:val="00297202"/>
    <w:rsid w:val="002A0E85"/>
    <w:rsid w:val="002A24C9"/>
    <w:rsid w:val="002A45B7"/>
    <w:rsid w:val="002B4776"/>
    <w:rsid w:val="002C2AB8"/>
    <w:rsid w:val="002C2B48"/>
    <w:rsid w:val="002C5CF2"/>
    <w:rsid w:val="002D0B23"/>
    <w:rsid w:val="002E2EB5"/>
    <w:rsid w:val="002E7B53"/>
    <w:rsid w:val="002F4408"/>
    <w:rsid w:val="002F505E"/>
    <w:rsid w:val="002F6383"/>
    <w:rsid w:val="00300223"/>
    <w:rsid w:val="00306511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A07EC"/>
    <w:rsid w:val="003A1714"/>
    <w:rsid w:val="003A66DF"/>
    <w:rsid w:val="003C0494"/>
    <w:rsid w:val="003C3102"/>
    <w:rsid w:val="003D13F5"/>
    <w:rsid w:val="003E4B74"/>
    <w:rsid w:val="003E5E60"/>
    <w:rsid w:val="003E6C8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2765"/>
    <w:rsid w:val="00443193"/>
    <w:rsid w:val="00445CBC"/>
    <w:rsid w:val="00450E75"/>
    <w:rsid w:val="00463FD8"/>
    <w:rsid w:val="0046482B"/>
    <w:rsid w:val="00466A83"/>
    <w:rsid w:val="00466FE6"/>
    <w:rsid w:val="00473E9F"/>
    <w:rsid w:val="00474D4E"/>
    <w:rsid w:val="00481D9F"/>
    <w:rsid w:val="0048295D"/>
    <w:rsid w:val="004868D2"/>
    <w:rsid w:val="00487628"/>
    <w:rsid w:val="004917FD"/>
    <w:rsid w:val="00492DC7"/>
    <w:rsid w:val="00494378"/>
    <w:rsid w:val="00497F0F"/>
    <w:rsid w:val="004A254F"/>
    <w:rsid w:val="004A35CF"/>
    <w:rsid w:val="004A47F7"/>
    <w:rsid w:val="004A73B9"/>
    <w:rsid w:val="004B4845"/>
    <w:rsid w:val="004B5E52"/>
    <w:rsid w:val="004B739D"/>
    <w:rsid w:val="004D1AE0"/>
    <w:rsid w:val="004D26A6"/>
    <w:rsid w:val="004D4A0F"/>
    <w:rsid w:val="004D5884"/>
    <w:rsid w:val="004E58AA"/>
    <w:rsid w:val="004F0425"/>
    <w:rsid w:val="004F0A63"/>
    <w:rsid w:val="0050069A"/>
    <w:rsid w:val="00506DD1"/>
    <w:rsid w:val="00515A8C"/>
    <w:rsid w:val="00515A8E"/>
    <w:rsid w:val="00521297"/>
    <w:rsid w:val="005216A2"/>
    <w:rsid w:val="0052236E"/>
    <w:rsid w:val="00526F99"/>
    <w:rsid w:val="0053527B"/>
    <w:rsid w:val="0053542D"/>
    <w:rsid w:val="00543742"/>
    <w:rsid w:val="005441ED"/>
    <w:rsid w:val="005457A1"/>
    <w:rsid w:val="005517FB"/>
    <w:rsid w:val="00552936"/>
    <w:rsid w:val="00553081"/>
    <w:rsid w:val="00556863"/>
    <w:rsid w:val="0055797B"/>
    <w:rsid w:val="00562B53"/>
    <w:rsid w:val="00563618"/>
    <w:rsid w:val="0059083F"/>
    <w:rsid w:val="005960E3"/>
    <w:rsid w:val="005964D0"/>
    <w:rsid w:val="0059701E"/>
    <w:rsid w:val="005973FB"/>
    <w:rsid w:val="005A1307"/>
    <w:rsid w:val="005A62B6"/>
    <w:rsid w:val="005B238E"/>
    <w:rsid w:val="005B2C05"/>
    <w:rsid w:val="005C177D"/>
    <w:rsid w:val="005D18AB"/>
    <w:rsid w:val="005D1C81"/>
    <w:rsid w:val="005D299E"/>
    <w:rsid w:val="005D4316"/>
    <w:rsid w:val="005D57C5"/>
    <w:rsid w:val="005D5B09"/>
    <w:rsid w:val="005D66DB"/>
    <w:rsid w:val="005D6843"/>
    <w:rsid w:val="005E0DF5"/>
    <w:rsid w:val="005E45FB"/>
    <w:rsid w:val="005E4D89"/>
    <w:rsid w:val="005F24DF"/>
    <w:rsid w:val="00623420"/>
    <w:rsid w:val="00626DC6"/>
    <w:rsid w:val="00637851"/>
    <w:rsid w:val="00640A29"/>
    <w:rsid w:val="00641694"/>
    <w:rsid w:val="00642CAA"/>
    <w:rsid w:val="00643E7C"/>
    <w:rsid w:val="00645E6D"/>
    <w:rsid w:val="00650B46"/>
    <w:rsid w:val="00652CCF"/>
    <w:rsid w:val="00660E20"/>
    <w:rsid w:val="00661323"/>
    <w:rsid w:val="00670247"/>
    <w:rsid w:val="00670573"/>
    <w:rsid w:val="00676F0D"/>
    <w:rsid w:val="0068238C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3FE4"/>
    <w:rsid w:val="006C5B83"/>
    <w:rsid w:val="006C6D5A"/>
    <w:rsid w:val="006D09BE"/>
    <w:rsid w:val="006D41F5"/>
    <w:rsid w:val="006E41AD"/>
    <w:rsid w:val="006E70F8"/>
    <w:rsid w:val="006E7618"/>
    <w:rsid w:val="00707C93"/>
    <w:rsid w:val="00724147"/>
    <w:rsid w:val="007254F8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6E35"/>
    <w:rsid w:val="0074781F"/>
    <w:rsid w:val="007502F2"/>
    <w:rsid w:val="00751028"/>
    <w:rsid w:val="00752E40"/>
    <w:rsid w:val="00757A69"/>
    <w:rsid w:val="00757B88"/>
    <w:rsid w:val="0076510E"/>
    <w:rsid w:val="007704F2"/>
    <w:rsid w:val="00771FFD"/>
    <w:rsid w:val="007765EE"/>
    <w:rsid w:val="0078289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03AD"/>
    <w:rsid w:val="007D79E2"/>
    <w:rsid w:val="007E6CB2"/>
    <w:rsid w:val="007F7875"/>
    <w:rsid w:val="00805300"/>
    <w:rsid w:val="008125CF"/>
    <w:rsid w:val="00822B75"/>
    <w:rsid w:val="00826AA4"/>
    <w:rsid w:val="0083334C"/>
    <w:rsid w:val="0084232C"/>
    <w:rsid w:val="00842BF2"/>
    <w:rsid w:val="00844822"/>
    <w:rsid w:val="0084790A"/>
    <w:rsid w:val="008541E8"/>
    <w:rsid w:val="00855591"/>
    <w:rsid w:val="00865CC0"/>
    <w:rsid w:val="00866FD9"/>
    <w:rsid w:val="008724FB"/>
    <w:rsid w:val="00876096"/>
    <w:rsid w:val="00882AF1"/>
    <w:rsid w:val="00884BB0"/>
    <w:rsid w:val="00886861"/>
    <w:rsid w:val="008903C9"/>
    <w:rsid w:val="00894763"/>
    <w:rsid w:val="00894973"/>
    <w:rsid w:val="008A3EDC"/>
    <w:rsid w:val="008B5672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7C9A"/>
    <w:rsid w:val="0093432D"/>
    <w:rsid w:val="0093699D"/>
    <w:rsid w:val="00936AC5"/>
    <w:rsid w:val="0093732A"/>
    <w:rsid w:val="0094029D"/>
    <w:rsid w:val="009406FB"/>
    <w:rsid w:val="009423F4"/>
    <w:rsid w:val="00943294"/>
    <w:rsid w:val="009510AC"/>
    <w:rsid w:val="009530C8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5D8B"/>
    <w:rsid w:val="009A7E01"/>
    <w:rsid w:val="009B0C65"/>
    <w:rsid w:val="009B2999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25041"/>
    <w:rsid w:val="00A2756E"/>
    <w:rsid w:val="00A332E7"/>
    <w:rsid w:val="00A3398D"/>
    <w:rsid w:val="00A351CE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429D"/>
    <w:rsid w:val="00AB5DE2"/>
    <w:rsid w:val="00AB5F98"/>
    <w:rsid w:val="00AB615A"/>
    <w:rsid w:val="00AC5E24"/>
    <w:rsid w:val="00AD61E8"/>
    <w:rsid w:val="00AE1D80"/>
    <w:rsid w:val="00AF0656"/>
    <w:rsid w:val="00AF096A"/>
    <w:rsid w:val="00AF6800"/>
    <w:rsid w:val="00AF7B6F"/>
    <w:rsid w:val="00B01893"/>
    <w:rsid w:val="00B065B1"/>
    <w:rsid w:val="00B12870"/>
    <w:rsid w:val="00B15483"/>
    <w:rsid w:val="00B20528"/>
    <w:rsid w:val="00B20CC1"/>
    <w:rsid w:val="00B21EE3"/>
    <w:rsid w:val="00B22690"/>
    <w:rsid w:val="00B23EEA"/>
    <w:rsid w:val="00B3062B"/>
    <w:rsid w:val="00B30D47"/>
    <w:rsid w:val="00B31F0D"/>
    <w:rsid w:val="00B36AED"/>
    <w:rsid w:val="00B41624"/>
    <w:rsid w:val="00B41CB6"/>
    <w:rsid w:val="00B4208B"/>
    <w:rsid w:val="00B45768"/>
    <w:rsid w:val="00B46302"/>
    <w:rsid w:val="00B51D19"/>
    <w:rsid w:val="00B5759F"/>
    <w:rsid w:val="00B61AF9"/>
    <w:rsid w:val="00B6386E"/>
    <w:rsid w:val="00B652AA"/>
    <w:rsid w:val="00B6597F"/>
    <w:rsid w:val="00B67192"/>
    <w:rsid w:val="00B7195E"/>
    <w:rsid w:val="00B7693D"/>
    <w:rsid w:val="00B8312F"/>
    <w:rsid w:val="00B84372"/>
    <w:rsid w:val="00B91824"/>
    <w:rsid w:val="00B97E91"/>
    <w:rsid w:val="00BA2782"/>
    <w:rsid w:val="00BA3C49"/>
    <w:rsid w:val="00BA4F4F"/>
    <w:rsid w:val="00BA7141"/>
    <w:rsid w:val="00BB1BC1"/>
    <w:rsid w:val="00BC61AA"/>
    <w:rsid w:val="00BC6582"/>
    <w:rsid w:val="00BC754E"/>
    <w:rsid w:val="00BD0335"/>
    <w:rsid w:val="00BD5AC1"/>
    <w:rsid w:val="00BD61BE"/>
    <w:rsid w:val="00BF184F"/>
    <w:rsid w:val="00C129A8"/>
    <w:rsid w:val="00C13853"/>
    <w:rsid w:val="00C220CC"/>
    <w:rsid w:val="00C24AD0"/>
    <w:rsid w:val="00C264D3"/>
    <w:rsid w:val="00C269FD"/>
    <w:rsid w:val="00C27465"/>
    <w:rsid w:val="00C31A95"/>
    <w:rsid w:val="00C31D56"/>
    <w:rsid w:val="00C31E63"/>
    <w:rsid w:val="00C34287"/>
    <w:rsid w:val="00C36F04"/>
    <w:rsid w:val="00C53024"/>
    <w:rsid w:val="00C6356A"/>
    <w:rsid w:val="00C80CF1"/>
    <w:rsid w:val="00C9095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B41"/>
    <w:rsid w:val="00CF5F6A"/>
    <w:rsid w:val="00CF6FC9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A72"/>
    <w:rsid w:val="00D477CD"/>
    <w:rsid w:val="00D53CB3"/>
    <w:rsid w:val="00D550D7"/>
    <w:rsid w:val="00D5669C"/>
    <w:rsid w:val="00D7230D"/>
    <w:rsid w:val="00D73331"/>
    <w:rsid w:val="00D74D17"/>
    <w:rsid w:val="00D81797"/>
    <w:rsid w:val="00D82EDF"/>
    <w:rsid w:val="00D8305A"/>
    <w:rsid w:val="00D8417E"/>
    <w:rsid w:val="00D93F30"/>
    <w:rsid w:val="00D95356"/>
    <w:rsid w:val="00D97306"/>
    <w:rsid w:val="00DA0B5B"/>
    <w:rsid w:val="00DB5D88"/>
    <w:rsid w:val="00DC40AE"/>
    <w:rsid w:val="00DD60A2"/>
    <w:rsid w:val="00DE1962"/>
    <w:rsid w:val="00DE4F52"/>
    <w:rsid w:val="00DF320D"/>
    <w:rsid w:val="00DF5F5B"/>
    <w:rsid w:val="00E04A02"/>
    <w:rsid w:val="00E12B11"/>
    <w:rsid w:val="00E20530"/>
    <w:rsid w:val="00E226D2"/>
    <w:rsid w:val="00E2479E"/>
    <w:rsid w:val="00E423FB"/>
    <w:rsid w:val="00E42DC6"/>
    <w:rsid w:val="00E44B64"/>
    <w:rsid w:val="00E474F6"/>
    <w:rsid w:val="00E524F1"/>
    <w:rsid w:val="00E60FF2"/>
    <w:rsid w:val="00E62BD9"/>
    <w:rsid w:val="00E635A1"/>
    <w:rsid w:val="00E63F5C"/>
    <w:rsid w:val="00E64F17"/>
    <w:rsid w:val="00E67895"/>
    <w:rsid w:val="00E755F3"/>
    <w:rsid w:val="00E801F7"/>
    <w:rsid w:val="00E90B12"/>
    <w:rsid w:val="00E91B68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5BD0"/>
    <w:rsid w:val="00ED7BF5"/>
    <w:rsid w:val="00EE3104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0100"/>
    <w:rsid w:val="00F36E61"/>
    <w:rsid w:val="00F37A59"/>
    <w:rsid w:val="00F52029"/>
    <w:rsid w:val="00F522FD"/>
    <w:rsid w:val="00F52756"/>
    <w:rsid w:val="00F53A96"/>
    <w:rsid w:val="00F56B27"/>
    <w:rsid w:val="00F574A5"/>
    <w:rsid w:val="00F60517"/>
    <w:rsid w:val="00F621F6"/>
    <w:rsid w:val="00F647F2"/>
    <w:rsid w:val="00F6592C"/>
    <w:rsid w:val="00F81A4F"/>
    <w:rsid w:val="00F84FC4"/>
    <w:rsid w:val="00F856CE"/>
    <w:rsid w:val="00F9171A"/>
    <w:rsid w:val="00F91810"/>
    <w:rsid w:val="00F91CF1"/>
    <w:rsid w:val="00F9331A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0670"/>
    <w:rsid w:val="00FF5D35"/>
    <w:rsid w:val="00FF64A9"/>
    <w:rsid w:val="00FF7F7C"/>
    <w:rsid w:val="3715D389"/>
    <w:rsid w:val="37984618"/>
    <w:rsid w:val="69462249"/>
    <w:rsid w:val="7046E2F5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5" ma:contentTypeDescription="Create a new document." ma:contentTypeScope="" ma:versionID="95e12f4082277e0afd7c0aaec61b50a6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d8a639db21b42409f994258dd6358c12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customXml/itemProps3.xml><?xml version="1.0" encoding="utf-8"?>
<ds:datastoreItem xmlns:ds="http://schemas.openxmlformats.org/officeDocument/2006/customXml" ds:itemID="{0D6DFEEC-9B39-4AF5-9D2C-EA98D9F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37</cp:revision>
  <cp:lastPrinted>2022-08-11T19:58:00Z</cp:lastPrinted>
  <dcterms:created xsi:type="dcterms:W3CDTF">2025-03-06T20:17:00Z</dcterms:created>
  <dcterms:modified xsi:type="dcterms:W3CDTF">2025-03-06T23:11:00Z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